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0C5A" w14:textId="77777777" w:rsidR="00B664B7" w:rsidRPr="00C067BF" w:rsidRDefault="00B664B7" w:rsidP="00B664B7">
      <w:pPr>
        <w:pStyle w:val="Heading1"/>
        <w:spacing w:before="0"/>
        <w:jc w:val="center"/>
        <w:rPr>
          <w:b w:val="0"/>
          <w:bCs w:val="0"/>
          <w:color w:val="000000" w:themeColor="text1"/>
          <w:sz w:val="24"/>
          <w:szCs w:val="24"/>
        </w:rPr>
      </w:pPr>
      <w:r w:rsidRPr="00C067BF">
        <w:rPr>
          <w:b w:val="0"/>
          <w:bCs w:val="0"/>
          <w:color w:val="000000" w:themeColor="text1"/>
          <w:sz w:val="24"/>
          <w:szCs w:val="24"/>
        </w:rPr>
        <w:t>Inter-Agency and Expert Group on Sustainable Development Goal Indicators: Working Group on Measurement of Development Support</w:t>
      </w:r>
    </w:p>
    <w:p w14:paraId="3C369B28" w14:textId="77777777" w:rsidR="00B664B7" w:rsidRPr="00C067BF" w:rsidRDefault="00B664B7" w:rsidP="00B664B7">
      <w:pPr>
        <w:pStyle w:val="Heading1"/>
        <w:spacing w:before="0"/>
        <w:jc w:val="center"/>
        <w:rPr>
          <w:b w:val="0"/>
          <w:bCs w:val="0"/>
          <w:color w:val="000000" w:themeColor="text1"/>
          <w:sz w:val="24"/>
          <w:szCs w:val="24"/>
        </w:rPr>
      </w:pPr>
    </w:p>
    <w:p w14:paraId="40468930" w14:textId="2E638BCC" w:rsidR="003E5645" w:rsidRPr="00C067BF" w:rsidRDefault="009F4FF0" w:rsidP="007E7A20">
      <w:pPr>
        <w:pStyle w:val="Heading1"/>
        <w:spacing w:before="0"/>
        <w:jc w:val="center"/>
      </w:pPr>
      <w:r>
        <w:t>Open consultation on the d</w:t>
      </w:r>
      <w:r w:rsidR="003E5645" w:rsidRPr="00C067BF">
        <w:t xml:space="preserve">raft </w:t>
      </w:r>
      <w:r w:rsidR="00B664B7" w:rsidRPr="00C067BF">
        <w:t>Proposal for SDG Target 17.3</w:t>
      </w:r>
    </w:p>
    <w:p w14:paraId="450A714C" w14:textId="77777777" w:rsidR="00C9558E" w:rsidRDefault="00C9558E" w:rsidP="007E7A20">
      <w:pPr>
        <w:pStyle w:val="Heading2"/>
        <w:spacing w:before="0"/>
        <w:jc w:val="center"/>
        <w:rPr>
          <w:u w:val="single"/>
        </w:rPr>
      </w:pPr>
    </w:p>
    <w:p w14:paraId="69A2BD82" w14:textId="45321ABE" w:rsidR="00A63017" w:rsidRDefault="00126C7A" w:rsidP="007E7A20">
      <w:pPr>
        <w:pStyle w:val="Heading1"/>
        <w:spacing w:before="0"/>
        <w:jc w:val="center"/>
      </w:pPr>
      <w:r w:rsidRPr="000C6F8A">
        <w:t>Brief explanations</w:t>
      </w:r>
    </w:p>
    <w:p w14:paraId="29111733" w14:textId="77777777" w:rsidR="00C548BD" w:rsidRDefault="00C548BD" w:rsidP="00C548BD">
      <w:pPr>
        <w:jc w:val="center"/>
      </w:pPr>
    </w:p>
    <w:p w14:paraId="7F3F3119" w14:textId="77777777" w:rsidR="004C6493" w:rsidRDefault="00C548BD" w:rsidP="00C548BD">
      <w:pPr>
        <w:jc w:val="center"/>
      </w:pPr>
      <w:r>
        <w:t>(</w:t>
      </w:r>
      <w:r w:rsidR="00FD3949">
        <w:t>I</w:t>
      </w:r>
      <w:r w:rsidR="00FD3949">
        <w:t>ncluded in the last section of the consultation</w:t>
      </w:r>
      <w:r w:rsidR="00FD3949">
        <w:t xml:space="preserve"> </w:t>
      </w:r>
    </w:p>
    <w:p w14:paraId="2E38BBCC" w14:textId="28311D56" w:rsidR="00C548BD" w:rsidRPr="00C548BD" w:rsidRDefault="00FD3949" w:rsidP="00C548BD">
      <w:pPr>
        <w:jc w:val="center"/>
      </w:pPr>
      <w:r>
        <w:t>but p</w:t>
      </w:r>
      <w:r w:rsidR="00523978">
        <w:t>rovided as WORD document for ease of reference</w:t>
      </w:r>
      <w:r w:rsidR="00C548BD">
        <w:t>)</w:t>
      </w:r>
    </w:p>
    <w:p w14:paraId="234D0569" w14:textId="63FBBB61" w:rsidR="00A63017" w:rsidRDefault="00A63017" w:rsidP="00A634B1"/>
    <w:p w14:paraId="4B506FAC" w14:textId="77777777" w:rsidR="009F4FF0" w:rsidRDefault="009F4FF0" w:rsidP="00A634B1"/>
    <w:p w14:paraId="5CD5572C" w14:textId="1ED9597B" w:rsidR="004B2B27" w:rsidRDefault="003778B2" w:rsidP="00A634B1">
      <w:pPr>
        <w:pStyle w:val="Heading3"/>
        <w:keepNext w:val="0"/>
        <w:keepLines w:val="0"/>
        <w:spacing w:before="0"/>
      </w:pPr>
      <w:r>
        <w:t xml:space="preserve">Part 1: </w:t>
      </w:r>
      <w:r w:rsidR="00A63017" w:rsidRPr="00A63017">
        <w:t>Sustainable development criteria</w:t>
      </w:r>
      <w:r w:rsidR="00A63017">
        <w:t xml:space="preserve"> </w:t>
      </w:r>
    </w:p>
    <w:p w14:paraId="7F7E1E81" w14:textId="77777777" w:rsidR="004B2B27" w:rsidRDefault="004B2B27" w:rsidP="00A634B1"/>
    <w:p w14:paraId="24652DCE" w14:textId="381683A2" w:rsidR="00A63017" w:rsidRDefault="00A63017" w:rsidP="00A634B1">
      <w:r>
        <w:t xml:space="preserve">The Group generally believed that indicators for Target 17.3 should focus on flows likely to contribute to the sustainable development of developing countries. The criteria proposed are based on the sustainable development criteria </w:t>
      </w:r>
      <w:r w:rsidR="005C2A77">
        <w:t xml:space="preserve">first discussed by </w:t>
      </w:r>
      <w:r w:rsidR="00A1786A">
        <w:t xml:space="preserve">the </w:t>
      </w:r>
      <w:r w:rsidR="004217BB">
        <w:t>Total Official Support for Sustainable Development (</w:t>
      </w:r>
      <w:r w:rsidR="00A1786A">
        <w:t>TOSSD</w:t>
      </w:r>
      <w:r w:rsidR="004217BB">
        <w:t>)</w:t>
      </w:r>
      <w:r w:rsidR="005C2A77">
        <w:t xml:space="preserve"> </w:t>
      </w:r>
      <w:r w:rsidR="004217BB">
        <w:t>T</w:t>
      </w:r>
      <w:r w:rsidR="005C2A77">
        <w:t xml:space="preserve">ask </w:t>
      </w:r>
      <w:r w:rsidR="004217BB">
        <w:t>F</w:t>
      </w:r>
      <w:r w:rsidR="005C2A77">
        <w:t xml:space="preserve">orce. </w:t>
      </w:r>
      <w:r w:rsidR="005C2A77" w:rsidRPr="006B6FE5">
        <w:t>Th</w:t>
      </w:r>
      <w:r w:rsidR="00F406E9">
        <w:t>e Working Group reviewed and further developed th</w:t>
      </w:r>
      <w:r w:rsidR="00FD2E03" w:rsidRPr="006B6FE5">
        <w:t>ose</w:t>
      </w:r>
      <w:r w:rsidR="005C2A77" w:rsidRPr="006B6FE5">
        <w:t xml:space="preserve"> criteria </w:t>
      </w:r>
      <w:r w:rsidRPr="006B6FE5">
        <w:t xml:space="preserve">to allow for the fact that data on FDI and other private flows are not generally available at activity level, and that </w:t>
      </w:r>
      <w:r w:rsidR="00002262">
        <w:t xml:space="preserve">providers may not always explicitly link their </w:t>
      </w:r>
      <w:r w:rsidR="005B306E" w:rsidRPr="006B6FE5">
        <w:t xml:space="preserve">activities </w:t>
      </w:r>
      <w:r w:rsidR="00002262">
        <w:t xml:space="preserve">to an </w:t>
      </w:r>
      <w:r w:rsidRPr="006B6FE5">
        <w:t xml:space="preserve">SDG target </w:t>
      </w:r>
      <w:r w:rsidR="00002262">
        <w:t xml:space="preserve">or goal (in fact, it was observed that as of July 2021, the </w:t>
      </w:r>
      <w:hyperlink r:id="rId8" w:history="1">
        <w:r w:rsidR="00002262" w:rsidRPr="00002262">
          <w:rPr>
            <w:rStyle w:val="Hyperlink"/>
          </w:rPr>
          <w:t>TOSSD Data Visualisation Tool</w:t>
        </w:r>
      </w:hyperlink>
      <w:r w:rsidR="00002262">
        <w:t xml:space="preserve"> </w:t>
      </w:r>
      <w:r w:rsidR="00DC0D09">
        <w:t>(</w:t>
      </w:r>
      <w:hyperlink r:id="rId9" w:history="1">
        <w:r w:rsidR="00DC0D09" w:rsidRPr="009802D3">
          <w:rPr>
            <w:rStyle w:val="Hyperlink"/>
          </w:rPr>
          <w:t>https://tossd.online/about</w:t>
        </w:r>
      </w:hyperlink>
      <w:r w:rsidR="00DC0D09">
        <w:t xml:space="preserve">) </w:t>
      </w:r>
      <w:r w:rsidR="00002262">
        <w:t>showed that 55% of TOSSD Pillar I activities reported for 2019 had no SDG goal or target specified)</w:t>
      </w:r>
      <w:r w:rsidRPr="006B6FE5">
        <w:t>.</w:t>
      </w:r>
    </w:p>
    <w:p w14:paraId="73C23ADE" w14:textId="7D5948C3" w:rsidR="009D1FF7" w:rsidRDefault="009D1FF7" w:rsidP="00A634B1"/>
    <w:p w14:paraId="65495341" w14:textId="706D3309" w:rsidR="009D1FF7" w:rsidRDefault="00275266" w:rsidP="00A634B1">
      <w:r>
        <w:rPr>
          <w:rFonts w:cs="Times New Roman"/>
        </w:rPr>
        <w:t xml:space="preserve">Activity-specific reporting </w:t>
      </w:r>
      <w:r w:rsidR="00B23716">
        <w:rPr>
          <w:rFonts w:cs="Times New Roman"/>
        </w:rPr>
        <w:t>(</w:t>
      </w:r>
      <w:proofErr w:type="gramStart"/>
      <w:r w:rsidR="00B23716">
        <w:rPr>
          <w:rFonts w:cs="Times New Roman"/>
        </w:rPr>
        <w:t>e.g.</w:t>
      </w:r>
      <w:proofErr w:type="gramEnd"/>
      <w:r w:rsidR="00B23716">
        <w:rPr>
          <w:rFonts w:cs="Times New Roman"/>
        </w:rPr>
        <w:t xml:space="preserve"> a grant for building a school) </w:t>
      </w:r>
      <w:r>
        <w:rPr>
          <w:rFonts w:cs="Times New Roman"/>
        </w:rPr>
        <w:t>is</w:t>
      </w:r>
      <w:r w:rsidR="00C4020F">
        <w:rPr>
          <w:rFonts w:cs="Times New Roman"/>
        </w:rPr>
        <w:t xml:space="preserve"> </w:t>
      </w:r>
      <w:r w:rsidR="00834630">
        <w:rPr>
          <w:rFonts w:cs="Times New Roman"/>
        </w:rPr>
        <w:t>helpful</w:t>
      </w:r>
      <w:r>
        <w:rPr>
          <w:rFonts w:cs="Times New Roman"/>
        </w:rPr>
        <w:t xml:space="preserve"> to allow a more direct application of the criteria. However</w:t>
      </w:r>
      <w:r w:rsidR="0007578A">
        <w:rPr>
          <w:rFonts w:cs="Times New Roman"/>
        </w:rPr>
        <w:t xml:space="preserve">, </w:t>
      </w:r>
      <w:r w:rsidR="006F5297">
        <w:rPr>
          <w:rFonts w:cs="Times New Roman"/>
        </w:rPr>
        <w:t xml:space="preserve">there are different ways to validate data and </w:t>
      </w:r>
      <w:r w:rsidR="0007578A">
        <w:rPr>
          <w:rFonts w:cs="Times New Roman"/>
        </w:rPr>
        <w:t>stat</w:t>
      </w:r>
      <w:r w:rsidR="00C1171D">
        <w:rPr>
          <w:rFonts w:cs="Times New Roman"/>
        </w:rPr>
        <w:t xml:space="preserve">istical reporting </w:t>
      </w:r>
      <w:r w:rsidR="006F5297">
        <w:rPr>
          <w:rFonts w:cs="Times New Roman"/>
        </w:rPr>
        <w:t>need</w:t>
      </w:r>
      <w:r w:rsidR="008C22F1">
        <w:rPr>
          <w:rFonts w:cs="Times New Roman"/>
        </w:rPr>
        <w:t xml:space="preserve"> not </w:t>
      </w:r>
      <w:r w:rsidR="006F5297">
        <w:rPr>
          <w:rFonts w:cs="Times New Roman"/>
        </w:rPr>
        <w:t xml:space="preserve">be made </w:t>
      </w:r>
      <w:r w:rsidR="00B94DCB">
        <w:rPr>
          <w:rFonts w:cs="Times New Roman"/>
        </w:rPr>
        <w:t>dependent on detailed acti</w:t>
      </w:r>
      <w:r w:rsidR="006E15CF">
        <w:rPr>
          <w:rFonts w:cs="Times New Roman"/>
        </w:rPr>
        <w:t>vity</w:t>
      </w:r>
      <w:r w:rsidR="006F5297">
        <w:rPr>
          <w:rFonts w:cs="Times New Roman"/>
        </w:rPr>
        <w:t>-</w:t>
      </w:r>
      <w:r w:rsidR="006E15CF">
        <w:rPr>
          <w:rFonts w:cs="Times New Roman"/>
        </w:rPr>
        <w:t xml:space="preserve">level </w:t>
      </w:r>
      <w:r w:rsidR="002D07F4">
        <w:rPr>
          <w:rFonts w:cs="Times New Roman"/>
        </w:rPr>
        <w:t>information</w:t>
      </w:r>
      <w:r w:rsidR="00C51522">
        <w:rPr>
          <w:rFonts w:cs="Times New Roman"/>
        </w:rPr>
        <w:t>.</w:t>
      </w:r>
    </w:p>
    <w:p w14:paraId="589B03E3" w14:textId="77777777" w:rsidR="004B2B27" w:rsidRDefault="004B2B27" w:rsidP="00A634B1"/>
    <w:p w14:paraId="4DF10351" w14:textId="321B7165" w:rsidR="004B2B27" w:rsidRDefault="003778B2" w:rsidP="00A634B1">
      <w:pPr>
        <w:pStyle w:val="Heading3"/>
        <w:keepNext w:val="0"/>
        <w:keepLines w:val="0"/>
        <w:spacing w:before="0"/>
      </w:pPr>
      <w:r>
        <w:t xml:space="preserve">Part 2: </w:t>
      </w:r>
      <w:r w:rsidR="004B2B27">
        <w:t>Proposed indicators</w:t>
      </w:r>
    </w:p>
    <w:p w14:paraId="32190AD3" w14:textId="77777777" w:rsidR="004B2B27" w:rsidRDefault="004B2B27" w:rsidP="00A634B1"/>
    <w:p w14:paraId="05C116AD" w14:textId="5A7B00A6" w:rsidR="004B2B27" w:rsidRDefault="005B306E" w:rsidP="00A634B1">
      <w:r>
        <w:t>The proposed i</w:t>
      </w:r>
      <w:r w:rsidR="004B2B27">
        <w:t xml:space="preserve">ndicator 17.3.1 consists of </w:t>
      </w:r>
      <w:r w:rsidR="00DB6A9F">
        <w:t>six</w:t>
      </w:r>
      <w:r w:rsidR="004B2B27">
        <w:t xml:space="preserve"> proposed sub-indicators, the coverage of each of which is described below. For each sub-indicator, annual totals will be reportable for the gross receipts of each developing country</w:t>
      </w:r>
      <w:r w:rsidR="00A1786A">
        <w:t>. While the sub-indicators</w:t>
      </w:r>
      <w:r w:rsidR="007710F9">
        <w:t xml:space="preserve"> follow </w:t>
      </w:r>
      <w:r w:rsidR="00A1786A">
        <w:t>the</w:t>
      </w:r>
      <w:r w:rsidR="007710F9">
        <w:t xml:space="preserve"> recipient perspective</w:t>
      </w:r>
      <w:r w:rsidR="00A1786A">
        <w:t xml:space="preserve">, </w:t>
      </w:r>
      <w:r w:rsidR="00DA333C">
        <w:t>the data for all proposed sub-indicators except foreign direct invest</w:t>
      </w:r>
      <w:r w:rsidR="005430A2">
        <w:t>ment</w:t>
      </w:r>
      <w:r w:rsidR="00DA333C">
        <w:t xml:space="preserve"> </w:t>
      </w:r>
      <w:r w:rsidR="00401AAC">
        <w:t>are</w:t>
      </w:r>
      <w:r w:rsidR="00DA333C">
        <w:t xml:space="preserve"> reportable by the providers</w:t>
      </w:r>
      <w:r w:rsidR="004B2B27">
        <w:t>. Gross means the amount disbursed, without any deduction for repayments of loan principal, payments of loan interest, or other return flows.</w:t>
      </w:r>
    </w:p>
    <w:p w14:paraId="2EB4013B" w14:textId="4A9FFB2A" w:rsidR="00BE4498" w:rsidRDefault="00BE4498" w:rsidP="00A634B1"/>
    <w:p w14:paraId="76736614" w14:textId="284BE0A0" w:rsidR="00BE4498" w:rsidRPr="004B2B27" w:rsidRDefault="006F5297" w:rsidP="00A634B1">
      <w:r>
        <w:t>As already noted, t</w:t>
      </w:r>
      <w:r w:rsidR="00BE4498">
        <w:t xml:space="preserve">he proposed sub-indicators make use of existing data sources and do not </w:t>
      </w:r>
      <w:r w:rsidR="00536F13">
        <w:t>imply any</w:t>
      </w:r>
      <w:r w:rsidR="00BE4498">
        <w:t xml:space="preserve"> additional reporting burden for recipient countries.</w:t>
      </w:r>
    </w:p>
    <w:p w14:paraId="5B8F8C0A" w14:textId="77777777" w:rsidR="004B2B27" w:rsidRDefault="004B2B27" w:rsidP="00A634B1"/>
    <w:p w14:paraId="2CFC4762" w14:textId="77777777" w:rsidR="004B2B27" w:rsidRDefault="004B2B27" w:rsidP="00A634B1">
      <w:pPr>
        <w:pStyle w:val="Heading4"/>
        <w:keepNext w:val="0"/>
        <w:keepLines w:val="0"/>
        <w:spacing w:before="0"/>
      </w:pPr>
      <w:r w:rsidRPr="004B2B27">
        <w:t>Official sustainable development grants</w:t>
      </w:r>
    </w:p>
    <w:p w14:paraId="654B35B8" w14:textId="77777777" w:rsidR="004B2B27" w:rsidRDefault="004B2B27" w:rsidP="00A634B1"/>
    <w:p w14:paraId="1158B9C0" w14:textId="77777777" w:rsidR="004B2B27" w:rsidRDefault="004B2B27" w:rsidP="00A634B1">
      <w:r w:rsidRPr="004B2B27">
        <w:t>Grants are transfers</w:t>
      </w:r>
      <w:r>
        <w:t xml:space="preserve"> </w:t>
      </w:r>
      <w:r w:rsidRPr="004B2B27">
        <w:t>in cash or in kind for which no legal debt is incurred by the recipient</w:t>
      </w:r>
      <w:r>
        <w:t>.</w:t>
      </w:r>
    </w:p>
    <w:p w14:paraId="13DAAF6D" w14:textId="77777777" w:rsidR="004B2B27" w:rsidRDefault="004B2B27" w:rsidP="00A634B1"/>
    <w:p w14:paraId="4788B6AC" w14:textId="77777777" w:rsidR="004B2B27" w:rsidRDefault="004B2B27" w:rsidP="00A634B1">
      <w:pPr>
        <w:pStyle w:val="Heading4"/>
        <w:keepNext w:val="0"/>
        <w:keepLines w:val="0"/>
        <w:spacing w:before="0"/>
      </w:pPr>
      <w:r w:rsidRPr="00771A37">
        <w:t xml:space="preserve">Official concessional </w:t>
      </w:r>
      <w:r>
        <w:t xml:space="preserve">sustainable </w:t>
      </w:r>
      <w:r w:rsidRPr="00771A37">
        <w:t>development loans</w:t>
      </w:r>
    </w:p>
    <w:p w14:paraId="62D4C8A9" w14:textId="77777777" w:rsidR="004B2B27" w:rsidRDefault="004B2B27" w:rsidP="00A634B1"/>
    <w:p w14:paraId="1822F5FB" w14:textId="5C19AB85" w:rsidR="00B36173" w:rsidRDefault="00F2760D" w:rsidP="00A634B1">
      <w:r w:rsidRPr="00F2760D">
        <w:t>Loans are transfers in cash or in kind for which the recipient incurs legal debt</w:t>
      </w:r>
      <w:r>
        <w:t xml:space="preserve">. A concessional transfer is one which gives something of value away. It is proposed to regard as concessional a loan which embodies at least a 35% </w:t>
      </w:r>
      <w:hyperlink r:id="rId10" w:history="1">
        <w:r w:rsidRPr="00591266">
          <w:rPr>
            <w:rStyle w:val="Hyperlink"/>
          </w:rPr>
          <w:t>grant element</w:t>
        </w:r>
      </w:hyperlink>
      <w:r>
        <w:t xml:space="preserve"> when its </w:t>
      </w:r>
      <w:r w:rsidR="003E5DF8">
        <w:t>service</w:t>
      </w:r>
      <w:r>
        <w:t xml:space="preserve"> payments are discounted at 5% p.a. </w:t>
      </w:r>
      <w:r w:rsidR="003E5DF8">
        <w:t>This test</w:t>
      </w:r>
      <w:r w:rsidR="00A1786A">
        <w:t xml:space="preserve"> </w:t>
      </w:r>
      <w:r w:rsidR="003E5DF8">
        <w:t xml:space="preserve">is derived from the World Bank-IMF </w:t>
      </w:r>
      <w:r w:rsidR="003E5DF8" w:rsidRPr="003E5DF8">
        <w:t>Debt Sustainability Framework</w:t>
      </w:r>
      <w:r w:rsidR="003E5DF8">
        <w:t xml:space="preserve"> for Low Income Counties (see </w:t>
      </w:r>
      <w:hyperlink r:id="rId11" w:history="1">
        <w:r w:rsidR="003E5DF8" w:rsidRPr="003E5DF8">
          <w:rPr>
            <w:rStyle w:val="Hyperlink"/>
          </w:rPr>
          <w:t>here</w:t>
        </w:r>
      </w:hyperlink>
      <w:r w:rsidR="003E5DF8">
        <w:t xml:space="preserve"> and </w:t>
      </w:r>
      <w:hyperlink r:id="rId12" w:history="1">
        <w:r w:rsidR="003E5DF8" w:rsidRPr="003E5DF8">
          <w:rPr>
            <w:rStyle w:val="Hyperlink"/>
          </w:rPr>
          <w:t>here</w:t>
        </w:r>
      </w:hyperlink>
      <w:r w:rsidR="003E5DF8">
        <w:t>)</w:t>
      </w:r>
      <w:r w:rsidR="00A1786A">
        <w:t xml:space="preserve"> and has also be</w:t>
      </w:r>
      <w:r w:rsidR="00C54014">
        <w:t>en</w:t>
      </w:r>
      <w:r w:rsidR="00A1786A">
        <w:t xml:space="preserve"> adopted by the TOSSD </w:t>
      </w:r>
      <w:r w:rsidR="00C54014">
        <w:t>T</w:t>
      </w:r>
      <w:r w:rsidR="00A1786A">
        <w:t xml:space="preserve">ask </w:t>
      </w:r>
      <w:r w:rsidR="00C54014">
        <w:t>F</w:t>
      </w:r>
      <w:r w:rsidR="00A1786A">
        <w:t>orce</w:t>
      </w:r>
      <w:r w:rsidR="003E5DF8">
        <w:t>.</w:t>
      </w:r>
    </w:p>
    <w:p w14:paraId="104357F5" w14:textId="77777777" w:rsidR="0082585F" w:rsidRDefault="0082585F" w:rsidP="00A634B1">
      <w:pPr>
        <w:rPr>
          <w:rStyle w:val="markedcontent"/>
        </w:rPr>
      </w:pPr>
    </w:p>
    <w:p w14:paraId="02920735" w14:textId="77777777" w:rsidR="003E5DF8" w:rsidRDefault="003E5DF8" w:rsidP="00FD3949">
      <w:pPr>
        <w:pStyle w:val="Heading4"/>
        <w:spacing w:before="0"/>
      </w:pPr>
      <w:r w:rsidRPr="00771A37">
        <w:lastRenderedPageBreak/>
        <w:t xml:space="preserve">Official concessional </w:t>
      </w:r>
      <w:r>
        <w:t xml:space="preserve">sustainable </w:t>
      </w:r>
      <w:r w:rsidRPr="00771A37">
        <w:t>development loans</w:t>
      </w:r>
    </w:p>
    <w:p w14:paraId="372B2E62" w14:textId="77777777" w:rsidR="00D61878" w:rsidRDefault="00D61878" w:rsidP="00FD3949">
      <w:pPr>
        <w:keepNext/>
        <w:keepLines/>
        <w:rPr>
          <w:rStyle w:val="markedcontent"/>
        </w:rPr>
      </w:pPr>
    </w:p>
    <w:p w14:paraId="0E9F2CF0" w14:textId="77777777" w:rsidR="0082585F" w:rsidRDefault="0082585F" w:rsidP="00FD3949">
      <w:pPr>
        <w:keepNext/>
        <w:keepLines/>
        <w:rPr>
          <w:rStyle w:val="markedcontent"/>
        </w:rPr>
      </w:pPr>
      <w:r>
        <w:rPr>
          <w:rStyle w:val="markedcontent"/>
        </w:rPr>
        <w:t>These are l</w:t>
      </w:r>
      <w:r w:rsidR="003E5DF8">
        <w:rPr>
          <w:rStyle w:val="markedcontent"/>
        </w:rPr>
        <w:t>oans (see above) which bear a grant element of less than 35% when their servic</w:t>
      </w:r>
      <w:r w:rsidR="005B306E">
        <w:rPr>
          <w:rStyle w:val="markedcontent"/>
        </w:rPr>
        <w:t>e payments are discounted at 5% p.a.</w:t>
      </w:r>
    </w:p>
    <w:p w14:paraId="0B8BBAAC" w14:textId="77777777" w:rsidR="0082585F" w:rsidRDefault="0082585F" w:rsidP="00A634B1">
      <w:pPr>
        <w:rPr>
          <w:rStyle w:val="markedcontent"/>
        </w:rPr>
      </w:pPr>
    </w:p>
    <w:p w14:paraId="0A8516E7" w14:textId="77777777" w:rsidR="0082585F" w:rsidRDefault="0082585F" w:rsidP="00A634B1">
      <w:pPr>
        <w:pStyle w:val="Heading4"/>
        <w:keepNext w:val="0"/>
        <w:keepLines w:val="0"/>
        <w:spacing w:before="0"/>
        <w:rPr>
          <w:rStyle w:val="markedcontent"/>
        </w:rPr>
      </w:pPr>
      <w:r w:rsidRPr="00B45DCF">
        <w:t>Foreign direct investment</w:t>
      </w:r>
    </w:p>
    <w:p w14:paraId="2ECC5B29" w14:textId="77777777" w:rsidR="003E5DF8" w:rsidRDefault="003E5DF8" w:rsidP="00A634B1">
      <w:pPr>
        <w:rPr>
          <w:rStyle w:val="markedcontent"/>
        </w:rPr>
      </w:pPr>
    </w:p>
    <w:p w14:paraId="70D1F30E" w14:textId="4A917681" w:rsidR="003E5DF8" w:rsidRPr="0082585F" w:rsidRDefault="0082585F" w:rsidP="00A634B1">
      <w:pPr>
        <w:rPr>
          <w:rStyle w:val="markedcontent"/>
        </w:rPr>
      </w:pPr>
      <w:r w:rsidRPr="0082585F">
        <w:t>Foreign direct investment (FDI) is a category of investment that reflects the</w:t>
      </w:r>
      <w:r>
        <w:t xml:space="preserve"> </w:t>
      </w:r>
      <w:r w:rsidRPr="0082585F">
        <w:t xml:space="preserve">objective of establishing a lasting interest by </w:t>
      </w:r>
      <w:r w:rsidR="00C32733" w:rsidRPr="0082585F">
        <w:t>a resident enterprise in one</w:t>
      </w:r>
      <w:r w:rsidR="00C32733">
        <w:t xml:space="preserve"> </w:t>
      </w:r>
      <w:r w:rsidR="00C32733" w:rsidRPr="0082585F">
        <w:t xml:space="preserve">economy (direct investor) in </w:t>
      </w:r>
      <w:r w:rsidRPr="0082585F">
        <w:t>an enterpris</w:t>
      </w:r>
      <w:r w:rsidR="005B306E">
        <w:t>e (direct investment enterprise</w:t>
      </w:r>
      <w:r w:rsidRPr="0082585F">
        <w:t>) that</w:t>
      </w:r>
      <w:r>
        <w:t xml:space="preserve"> is </w:t>
      </w:r>
      <w:r w:rsidRPr="0082585F">
        <w:t>r</w:t>
      </w:r>
      <w:r>
        <w:t xml:space="preserve">esident in an economy other than that of the direct </w:t>
      </w:r>
      <w:r w:rsidRPr="0082585F">
        <w:t>investor. The</w:t>
      </w:r>
      <w:r>
        <w:t xml:space="preserve"> </w:t>
      </w:r>
      <w:r w:rsidRPr="0082585F">
        <w:t>lasting interest implies the existence of a long-term relationship between</w:t>
      </w:r>
      <w:r>
        <w:t xml:space="preserve"> </w:t>
      </w:r>
      <w:r w:rsidRPr="0082585F">
        <w:t>the direct investor and the direct investment enterprise and a significant</w:t>
      </w:r>
      <w:r>
        <w:t xml:space="preserve"> degree of</w:t>
      </w:r>
      <w:r w:rsidRPr="0082585F">
        <w:t xml:space="preserve"> influence</w:t>
      </w:r>
      <w:r>
        <w:t xml:space="preserve"> on the management of the enterprise. The direct </w:t>
      </w:r>
      <w:r w:rsidRPr="0082585F">
        <w:t>or</w:t>
      </w:r>
      <w:r>
        <w:t xml:space="preserve"> indirect ownership of 10% or more of the voting power of an</w:t>
      </w:r>
      <w:r w:rsidRPr="0082585F">
        <w:t xml:space="preserve"> enterprise</w:t>
      </w:r>
      <w:r>
        <w:t xml:space="preserve"> resident in one economy by an investor resident in </w:t>
      </w:r>
      <w:r w:rsidRPr="0082585F">
        <w:t>another</w:t>
      </w:r>
      <w:r>
        <w:t xml:space="preserve"> economy</w:t>
      </w:r>
      <w:r w:rsidRPr="0082585F">
        <w:t xml:space="preserve"> is</w:t>
      </w:r>
      <w:r>
        <w:t xml:space="preserve"> taken as </w:t>
      </w:r>
      <w:r w:rsidRPr="0082585F">
        <w:t>evidence of such a relationship.</w:t>
      </w:r>
      <w:r w:rsidR="00AB1A77">
        <w:t xml:space="preserve"> </w:t>
      </w:r>
    </w:p>
    <w:p w14:paraId="41666502" w14:textId="77777777" w:rsidR="00FA7F77" w:rsidRDefault="00FA7F77" w:rsidP="00A634B1">
      <w:pPr>
        <w:rPr>
          <w:rStyle w:val="markedcontent"/>
        </w:rPr>
      </w:pPr>
    </w:p>
    <w:p w14:paraId="103DE08F" w14:textId="77777777" w:rsidR="00007763" w:rsidRDefault="00920B85" w:rsidP="00A634B1">
      <w:pPr>
        <w:pStyle w:val="Heading4"/>
        <w:spacing w:before="0"/>
        <w:rPr>
          <w:rStyle w:val="markedcontent"/>
        </w:rPr>
      </w:pPr>
      <w:r>
        <w:rPr>
          <w:rStyle w:val="markedcontent"/>
        </w:rPr>
        <w:t xml:space="preserve">Mobilised private </w:t>
      </w:r>
      <w:proofErr w:type="gramStart"/>
      <w:r>
        <w:rPr>
          <w:rStyle w:val="markedcontent"/>
        </w:rPr>
        <w:t>finance</w:t>
      </w:r>
      <w:proofErr w:type="gramEnd"/>
    </w:p>
    <w:p w14:paraId="30DC97D4" w14:textId="77777777" w:rsidR="00B664B7" w:rsidRDefault="00B664B7" w:rsidP="00A634B1">
      <w:pPr>
        <w:keepNext/>
        <w:keepLines/>
        <w:rPr>
          <w:rStyle w:val="markedcontent"/>
        </w:rPr>
      </w:pPr>
    </w:p>
    <w:p w14:paraId="19B97D9B" w14:textId="2D12DBB0" w:rsidR="001E6B39" w:rsidRDefault="00920B85" w:rsidP="00A634B1">
      <w:pPr>
        <w:keepNext/>
        <w:keepLines/>
      </w:pPr>
      <w:r w:rsidRPr="006734E0">
        <w:t xml:space="preserve">Mobilised private finance (MPF) </w:t>
      </w:r>
      <w:r w:rsidR="0060714D">
        <w:t>consists of</w:t>
      </w:r>
      <w:r w:rsidR="005B306E">
        <w:t xml:space="preserve"> private resource flows</w:t>
      </w:r>
      <w:r w:rsidR="006734E0">
        <w:t xml:space="preserve"> </w:t>
      </w:r>
      <w:r w:rsidR="002C61EF">
        <w:t xml:space="preserve">for activities in developing countries </w:t>
      </w:r>
      <w:r w:rsidR="006734E0">
        <w:t xml:space="preserve">which </w:t>
      </w:r>
      <w:r w:rsidR="002C61EF">
        <w:t xml:space="preserve">have been </w:t>
      </w:r>
      <w:r w:rsidR="0060714D">
        <w:t>encouraged and supported</w:t>
      </w:r>
      <w:r w:rsidR="002C61EF">
        <w:t xml:space="preserve"> by interventions of multilateral development banks (MDBs), bilateral development finance institutions, </w:t>
      </w:r>
      <w:r w:rsidR="005B306E">
        <w:t>or</w:t>
      </w:r>
      <w:r w:rsidR="002C61EF">
        <w:t xml:space="preserve"> other bilateral agencies. The World Bank explains the MDB method</w:t>
      </w:r>
      <w:r w:rsidR="005B306E">
        <w:t xml:space="preserve"> for counting MPF</w:t>
      </w:r>
      <w:r w:rsidR="002C61EF">
        <w:t xml:space="preserve"> </w:t>
      </w:r>
      <w:hyperlink r:id="rId13" w:history="1">
        <w:r w:rsidR="002C61EF" w:rsidRPr="002C61EF">
          <w:rPr>
            <w:rStyle w:val="Hyperlink"/>
          </w:rPr>
          <w:t>here</w:t>
        </w:r>
      </w:hyperlink>
      <w:r w:rsidR="002C61EF">
        <w:t xml:space="preserve">, and the OECD provides extensive documentation on its approach </w:t>
      </w:r>
      <w:hyperlink r:id="rId14" w:history="1">
        <w:r w:rsidR="002C61EF" w:rsidRPr="002C61EF">
          <w:rPr>
            <w:rStyle w:val="Hyperlink"/>
          </w:rPr>
          <w:t>here</w:t>
        </w:r>
      </w:hyperlink>
      <w:r w:rsidR="002C61EF">
        <w:t xml:space="preserve">. Among those Working Group members that favoured including a sub-indicator on MPF, there was a preference for the OECD method. If a sub-indicator </w:t>
      </w:r>
      <w:r w:rsidR="0060714D">
        <w:t>is</w:t>
      </w:r>
      <w:r w:rsidR="002C61EF">
        <w:t xml:space="preserve"> included on MPF, it </w:t>
      </w:r>
      <w:r w:rsidR="0060714D">
        <w:t>will</w:t>
      </w:r>
      <w:r w:rsidR="002C61EF">
        <w:t xml:space="preserve"> have “</w:t>
      </w:r>
      <w:r w:rsidR="002C61EF" w:rsidRPr="00D46B45">
        <w:rPr>
          <w:u w:val="single"/>
        </w:rPr>
        <w:t>memorandum item</w:t>
      </w:r>
      <w:r w:rsidR="002C61EF">
        <w:t xml:space="preserve">” status because it would likely include </w:t>
      </w:r>
      <w:r w:rsidR="009B32C5">
        <w:t xml:space="preserve">and overlap </w:t>
      </w:r>
      <w:r w:rsidR="005A426D">
        <w:t xml:space="preserve">with </w:t>
      </w:r>
      <w:r w:rsidR="002C61EF">
        <w:t xml:space="preserve">some finance that would also be found in </w:t>
      </w:r>
      <w:r w:rsidR="0060714D">
        <w:t xml:space="preserve">the </w:t>
      </w:r>
      <w:r w:rsidR="002C61EF">
        <w:t xml:space="preserve">FDI </w:t>
      </w:r>
      <w:r w:rsidR="0060714D">
        <w:t>sub-indicator</w:t>
      </w:r>
      <w:r w:rsidR="002C61EF">
        <w:t xml:space="preserve">. MPF data are </w:t>
      </w:r>
      <w:r w:rsidR="00A1786A">
        <w:t xml:space="preserve">typically </w:t>
      </w:r>
      <w:r w:rsidR="002C61EF">
        <w:t xml:space="preserve">collected on a commitment basis, </w:t>
      </w:r>
      <w:r w:rsidR="00347986">
        <w:t xml:space="preserve">rather than in terms of developing country receipts. </w:t>
      </w:r>
    </w:p>
    <w:p w14:paraId="1850F620" w14:textId="74FEDADA" w:rsidR="00356CEC" w:rsidRDefault="00356CEC" w:rsidP="00A634B1">
      <w:pPr>
        <w:keepNext/>
        <w:keepLines/>
      </w:pPr>
    </w:p>
    <w:p w14:paraId="701EC3FF" w14:textId="6278C6F3" w:rsidR="00356CEC" w:rsidRDefault="006E06C8" w:rsidP="00A634B1">
      <w:pPr>
        <w:keepNext/>
        <w:keepLines/>
      </w:pPr>
      <w:r w:rsidRPr="006E06C8">
        <w:t xml:space="preserve">As noted in the proposal, the </w:t>
      </w:r>
      <w:r w:rsidR="006874B8">
        <w:t>measurement of</w:t>
      </w:r>
      <w:r w:rsidRPr="006E06C8">
        <w:t xml:space="preserve"> Mobilised Private Finance (MPF) presents significant data availability issues, as well as some conceptual issues. Pilot testing may resolve </w:t>
      </w:r>
      <w:r w:rsidR="0036094F">
        <w:t xml:space="preserve">some of </w:t>
      </w:r>
      <w:r w:rsidRPr="006E06C8">
        <w:t xml:space="preserve">these issues, but if they cannot be </w:t>
      </w:r>
      <w:r w:rsidR="001A5581">
        <w:t xml:space="preserve">sufficiently </w:t>
      </w:r>
      <w:r w:rsidRPr="006E06C8">
        <w:t xml:space="preserve">resolved </w:t>
      </w:r>
      <w:r w:rsidR="000C53DA">
        <w:t xml:space="preserve">it may be suggested </w:t>
      </w:r>
      <w:r w:rsidRPr="006E06C8">
        <w:t>to consider th</w:t>
      </w:r>
      <w:r w:rsidR="00553DDF">
        <w:t>is</w:t>
      </w:r>
      <w:r w:rsidRPr="006E06C8">
        <w:t xml:space="preserve"> sub-indicator as part of the 2025 global review of the SDG indicators.</w:t>
      </w:r>
      <w:r w:rsidR="0087797D">
        <w:t xml:space="preserve"> One can also decide to include M</w:t>
      </w:r>
      <w:r w:rsidR="00230F29">
        <w:t>PF</w:t>
      </w:r>
      <w:r w:rsidR="0087797D">
        <w:t xml:space="preserve"> as a memorandum item from 2022 even </w:t>
      </w:r>
      <w:r w:rsidR="002E1AC5">
        <w:t>if</w:t>
      </w:r>
      <w:r w:rsidR="0087797D">
        <w:t xml:space="preserve"> there might be challenges solving the data problem</w:t>
      </w:r>
      <w:r w:rsidR="00EE0AE5">
        <w:t>s</w:t>
      </w:r>
      <w:r w:rsidR="0087797D">
        <w:t xml:space="preserve"> in the short run, see the proposal. </w:t>
      </w:r>
    </w:p>
    <w:p w14:paraId="7C1451C3" w14:textId="77777777" w:rsidR="000F2EC8" w:rsidRDefault="000F2EC8" w:rsidP="00A634B1"/>
    <w:p w14:paraId="3291975B" w14:textId="77777777" w:rsidR="000F2EC8" w:rsidRDefault="000F2EC8" w:rsidP="00A634B1">
      <w:pPr>
        <w:pStyle w:val="Heading4"/>
        <w:keepNext w:val="0"/>
        <w:keepLines w:val="0"/>
        <w:spacing w:before="0"/>
      </w:pPr>
      <w:r>
        <w:t>Private grants</w:t>
      </w:r>
    </w:p>
    <w:p w14:paraId="16685F18" w14:textId="77777777" w:rsidR="00347986" w:rsidRDefault="00347986" w:rsidP="00A634B1"/>
    <w:p w14:paraId="3D14D7D0" w14:textId="49B17F29" w:rsidR="000F2EC8" w:rsidRDefault="000F2EC8" w:rsidP="00A634B1">
      <w:r>
        <w:t xml:space="preserve">Private grants are here taken to mean grants from private institutions for developmental purposes – excluding commercial flows and </w:t>
      </w:r>
      <w:r w:rsidR="0060714D">
        <w:t>personal</w:t>
      </w:r>
      <w:r w:rsidR="005E432A">
        <w:t xml:space="preserve"> transactions such as remittances. They essentially comprise grants from philanthropic foundations and </w:t>
      </w:r>
      <w:r w:rsidR="0060714D">
        <w:t xml:space="preserve">other </w:t>
      </w:r>
      <w:r w:rsidR="005E432A">
        <w:t>non-governmental organi</w:t>
      </w:r>
      <w:r w:rsidR="00FD3949">
        <w:t>z</w:t>
      </w:r>
      <w:r w:rsidR="005E432A">
        <w:t xml:space="preserve">ations. The recorded flow was nearly $50 billion in 2019, but the data are incomplete, with some </w:t>
      </w:r>
      <w:r w:rsidR="0060714D">
        <w:t>significant</w:t>
      </w:r>
      <w:r w:rsidR="005E432A">
        <w:t xml:space="preserve"> countries not reporting. At present, there is only a recipient breakdown for flows from large foundations, which reported total disbursements </w:t>
      </w:r>
      <w:r w:rsidR="0060714D">
        <w:t xml:space="preserve">for development purposes </w:t>
      </w:r>
      <w:r w:rsidR="005E432A">
        <w:t>of about $9 billion in 2019.</w:t>
      </w:r>
    </w:p>
    <w:p w14:paraId="58758E52" w14:textId="30E1D115" w:rsidR="006E06C8" w:rsidRDefault="006E06C8" w:rsidP="00A634B1"/>
    <w:p w14:paraId="621EDEAE" w14:textId="72F94E35" w:rsidR="006E06C8" w:rsidRDefault="006E06C8" w:rsidP="00A634B1">
      <w:r w:rsidRPr="006E06C8">
        <w:t xml:space="preserve">As noted in the proposal, the </w:t>
      </w:r>
      <w:r w:rsidR="006874B8">
        <w:t>measurement of</w:t>
      </w:r>
      <w:r w:rsidRPr="006E06C8">
        <w:t xml:space="preserve"> </w:t>
      </w:r>
      <w:r w:rsidR="00DE5979">
        <w:t>private g</w:t>
      </w:r>
      <w:r>
        <w:t>rants</w:t>
      </w:r>
      <w:r w:rsidRPr="006E06C8">
        <w:t xml:space="preserve"> presents significant data availability issues. Pilot testing may resolve these issues, but if they cannot be </w:t>
      </w:r>
      <w:r w:rsidR="00E451C2">
        <w:t xml:space="preserve">sufficiently </w:t>
      </w:r>
      <w:r w:rsidRPr="006E06C8">
        <w:t xml:space="preserve">resolved </w:t>
      </w:r>
      <w:r w:rsidR="00E451C2">
        <w:t xml:space="preserve">it may be suggested </w:t>
      </w:r>
      <w:r w:rsidRPr="006E06C8">
        <w:t>to consider th</w:t>
      </w:r>
      <w:r w:rsidR="00E95CED">
        <w:t>is</w:t>
      </w:r>
      <w:r w:rsidRPr="006E06C8">
        <w:t xml:space="preserve"> sub-indicator as part of the 2025 global review of the SDG indicators.</w:t>
      </w:r>
    </w:p>
    <w:p w14:paraId="63A813F6" w14:textId="77777777" w:rsidR="00347986" w:rsidRDefault="00347986" w:rsidP="00A634B1"/>
    <w:p w14:paraId="4212B68F" w14:textId="74542EFA" w:rsidR="00CE16A3" w:rsidRPr="00F104D6" w:rsidRDefault="003778B2" w:rsidP="00A634B1">
      <w:pPr>
        <w:pStyle w:val="Heading4"/>
        <w:keepNext w:val="0"/>
        <w:keepLines w:val="0"/>
        <w:spacing w:before="0"/>
        <w:rPr>
          <w:i w:val="0"/>
          <w:iCs w:val="0"/>
        </w:rPr>
      </w:pPr>
      <w:r>
        <w:rPr>
          <w:i w:val="0"/>
          <w:iCs w:val="0"/>
        </w:rPr>
        <w:t xml:space="preserve">Part 3: </w:t>
      </w:r>
      <w:r w:rsidR="00083036" w:rsidRPr="00083036">
        <w:rPr>
          <w:i w:val="0"/>
          <w:iCs w:val="0"/>
        </w:rPr>
        <w:t xml:space="preserve">Further details of what the indicators include and </w:t>
      </w:r>
      <w:proofErr w:type="gramStart"/>
      <w:r w:rsidR="00083036" w:rsidRPr="00083036">
        <w:rPr>
          <w:i w:val="0"/>
          <w:iCs w:val="0"/>
        </w:rPr>
        <w:t>exclude</w:t>
      </w:r>
      <w:proofErr w:type="gramEnd"/>
    </w:p>
    <w:p w14:paraId="62F25EE5" w14:textId="77777777" w:rsidR="00CE16A3" w:rsidRDefault="00CE16A3" w:rsidP="00A634B1"/>
    <w:p w14:paraId="072F53F5" w14:textId="64F08ADF" w:rsidR="00CE16A3" w:rsidRDefault="00CE16A3" w:rsidP="00A634B1">
      <w:pPr>
        <w:pStyle w:val="ListParagraph"/>
        <w:numPr>
          <w:ilvl w:val="0"/>
          <w:numId w:val="1"/>
        </w:numPr>
        <w:contextualSpacing w:val="0"/>
      </w:pPr>
      <w:r>
        <w:t xml:space="preserve">The main reason that the Working Group supported separate indicators for different types of flows was to reflect the different natures and </w:t>
      </w:r>
      <w:proofErr w:type="spellStart"/>
      <w:r>
        <w:t>concessionality</w:t>
      </w:r>
      <w:proofErr w:type="spellEnd"/>
      <w:r>
        <w:t xml:space="preserve"> levels of the flows. </w:t>
      </w:r>
      <w:r w:rsidR="0060714D">
        <w:t xml:space="preserve">Presenting each financing flow individually, and not adding them up, </w:t>
      </w:r>
      <w:r w:rsidR="00DA333C">
        <w:t>follow</w:t>
      </w:r>
      <w:r w:rsidR="00DD0BB9">
        <w:t>ing</w:t>
      </w:r>
      <w:r w:rsidR="00DA333C">
        <w:t xml:space="preserve"> the</w:t>
      </w:r>
      <w:r>
        <w:t xml:space="preserve"> approach adopted in the Addis Ababa Action Agenda on financing for </w:t>
      </w:r>
      <w:r w:rsidR="00DA333C">
        <w:t xml:space="preserve">sustainable </w:t>
      </w:r>
      <w:r>
        <w:t xml:space="preserve">development.  </w:t>
      </w:r>
    </w:p>
    <w:p w14:paraId="5E2F42CA" w14:textId="77777777" w:rsidR="00A634B1" w:rsidRDefault="00A634B1" w:rsidP="00A634B1">
      <w:pPr>
        <w:pStyle w:val="ListParagraph"/>
        <w:contextualSpacing w:val="0"/>
      </w:pPr>
    </w:p>
    <w:p w14:paraId="3DB48C89" w14:textId="5622341F" w:rsidR="00CE16A3" w:rsidRDefault="00CE16A3" w:rsidP="00A634B1">
      <w:pPr>
        <w:pStyle w:val="ListParagraph"/>
        <w:numPr>
          <w:ilvl w:val="0"/>
          <w:numId w:val="1"/>
        </w:numPr>
        <w:contextualSpacing w:val="0"/>
      </w:pPr>
      <w:r>
        <w:lastRenderedPageBreak/>
        <w:t>The emphasis on gross flows reflects the focus of the Target on “additional financial resources for developing countries”</w:t>
      </w:r>
      <w:r w:rsidR="00AB42E9">
        <w:t>. The gross flow is the amount available to finance new sustainable development activities.</w:t>
      </w:r>
    </w:p>
    <w:p w14:paraId="367EEE60" w14:textId="77777777" w:rsidR="00A634B1" w:rsidRDefault="00A634B1" w:rsidP="00A634B1">
      <w:pPr>
        <w:pStyle w:val="ListParagraph"/>
      </w:pPr>
    </w:p>
    <w:p w14:paraId="528035E4" w14:textId="77777777" w:rsidR="00B21A6B" w:rsidRDefault="00C97B9B" w:rsidP="00A634B1">
      <w:pPr>
        <w:pStyle w:val="ListParagraph"/>
        <w:numPr>
          <w:ilvl w:val="0"/>
          <w:numId w:val="1"/>
        </w:numPr>
        <w:contextualSpacing w:val="0"/>
      </w:pPr>
      <w:r>
        <w:t>Exclusions within the indicators</w:t>
      </w:r>
      <w:r w:rsidR="00AB42E9">
        <w:t xml:space="preserve">: </w:t>
      </w:r>
    </w:p>
    <w:p w14:paraId="41341CA2" w14:textId="77777777" w:rsidR="00A634B1" w:rsidRDefault="00A634B1" w:rsidP="00A634B1">
      <w:pPr>
        <w:pStyle w:val="ListParagraph"/>
        <w:contextualSpacing w:val="0"/>
        <w:rPr>
          <w:i/>
        </w:rPr>
      </w:pPr>
    </w:p>
    <w:p w14:paraId="1BA048AB" w14:textId="6436164B" w:rsidR="00B21A6B" w:rsidRDefault="00AB42E9" w:rsidP="00A634B1">
      <w:pPr>
        <w:pStyle w:val="ListParagraph"/>
        <w:contextualSpacing w:val="0"/>
      </w:pPr>
      <w:r w:rsidRPr="00C97B9B">
        <w:rPr>
          <w:i/>
        </w:rPr>
        <w:t>(a) Debt relief.</w:t>
      </w:r>
      <w:r>
        <w:t xml:space="preserve"> The Group recogni</w:t>
      </w:r>
      <w:r w:rsidR="00BC2460">
        <w:t>z</w:t>
      </w:r>
      <w:r>
        <w:t>ed the importance of providing debt relief but identified numerous reasons for not including</w:t>
      </w:r>
      <w:r w:rsidR="0060714D">
        <w:t xml:space="preserve"> it in</w:t>
      </w:r>
      <w:r>
        <w:t xml:space="preserve"> </w:t>
      </w:r>
      <w:r w:rsidR="0060714D">
        <w:t>indicator 17.3.1</w:t>
      </w:r>
      <w:r>
        <w:t xml:space="preserve">. </w:t>
      </w:r>
      <w:r w:rsidR="0060714D">
        <w:t>Among these were that debt relief is</w:t>
      </w:r>
      <w:r>
        <w:t xml:space="preserve"> not a new flow of resources</w:t>
      </w:r>
      <w:r w:rsidR="005E3B2B">
        <w:t>; there was also a lack of clarity on how it should be accounted for</w:t>
      </w:r>
      <w:r>
        <w:t xml:space="preserve">; it </w:t>
      </w:r>
      <w:r w:rsidR="0060714D">
        <w:t>does</w:t>
      </w:r>
      <w:r>
        <w:t xml:space="preserve"> not fit </w:t>
      </w:r>
      <w:r w:rsidR="0060714D">
        <w:t xml:space="preserve">easily </w:t>
      </w:r>
      <w:r>
        <w:t xml:space="preserve">with a gross approach to </w:t>
      </w:r>
      <w:r w:rsidR="0060714D">
        <w:t>reporting loans which records</w:t>
      </w:r>
      <w:r>
        <w:t xml:space="preserve"> the full v</w:t>
      </w:r>
      <w:r w:rsidR="0060714D">
        <w:t xml:space="preserve">alue of the </w:t>
      </w:r>
      <w:r w:rsidR="00E72E2E">
        <w:t xml:space="preserve">original </w:t>
      </w:r>
      <w:r w:rsidR="0060714D">
        <w:t>loan and disregards</w:t>
      </w:r>
      <w:r>
        <w:t xml:space="preserve"> all repayment obligations; it </w:t>
      </w:r>
      <w:r w:rsidR="0060714D">
        <w:t>is</w:t>
      </w:r>
      <w:r>
        <w:t xml:space="preserve"> already covered in donor figures under other indicators; and </w:t>
      </w:r>
      <w:r w:rsidR="00EC30FB">
        <w:t xml:space="preserve">that if a debt relief indicator is </w:t>
      </w:r>
      <w:r>
        <w:t xml:space="preserve">required </w:t>
      </w:r>
      <w:r w:rsidR="00EC30FB">
        <w:t xml:space="preserve">it </w:t>
      </w:r>
      <w:r>
        <w:t xml:space="preserve">might more appropriately be added under Target 17.4 which </w:t>
      </w:r>
      <w:r w:rsidR="0060714D">
        <w:t>deals</w:t>
      </w:r>
      <w:r>
        <w:t xml:space="preserve"> specifically with debt </w:t>
      </w:r>
      <w:r w:rsidR="0060714D">
        <w:t xml:space="preserve">management </w:t>
      </w:r>
      <w:r>
        <w:t>issues.</w:t>
      </w:r>
      <w:r w:rsidR="005E3B2B">
        <w:t xml:space="preserve"> </w:t>
      </w:r>
      <w:r w:rsidR="00C97B9B">
        <w:t xml:space="preserve">  </w:t>
      </w:r>
    </w:p>
    <w:p w14:paraId="071709B4" w14:textId="77777777" w:rsidR="00A634B1" w:rsidRDefault="00A634B1" w:rsidP="00A634B1">
      <w:pPr>
        <w:pStyle w:val="ListParagraph"/>
        <w:contextualSpacing w:val="0"/>
        <w:rPr>
          <w:i/>
        </w:rPr>
      </w:pPr>
    </w:p>
    <w:p w14:paraId="6F107D9E" w14:textId="11D22669" w:rsidR="00B21A6B" w:rsidRDefault="00C97B9B" w:rsidP="00A634B1">
      <w:pPr>
        <w:pStyle w:val="ListParagraph"/>
        <w:contextualSpacing w:val="0"/>
      </w:pPr>
      <w:r w:rsidRPr="00C97B9B">
        <w:rPr>
          <w:i/>
        </w:rPr>
        <w:t>(b) In-donor refugees.</w:t>
      </w:r>
      <w:r>
        <w:t xml:space="preserve"> The costs of maintaining refugees in donor countries for the first 12 months of their stay are reportable as official development assistance (ODA). However, the Group recogni</w:t>
      </w:r>
      <w:r w:rsidR="00BC2460">
        <w:t>z</w:t>
      </w:r>
      <w:r>
        <w:t xml:space="preserve">ed that these costs, while serving global humanitarian purposes, do not represent new resources for </w:t>
      </w:r>
      <w:r w:rsidR="00B21A6B">
        <w:t xml:space="preserve">sustainable development </w:t>
      </w:r>
      <w:r>
        <w:t xml:space="preserve">activities in developing countries.  </w:t>
      </w:r>
    </w:p>
    <w:p w14:paraId="260E60FF" w14:textId="77777777" w:rsidR="00A634B1" w:rsidRDefault="00A634B1" w:rsidP="00A634B1">
      <w:pPr>
        <w:pStyle w:val="ListParagraph"/>
        <w:contextualSpacing w:val="0"/>
        <w:rPr>
          <w:i/>
        </w:rPr>
      </w:pPr>
    </w:p>
    <w:p w14:paraId="66B00AC3" w14:textId="19DBF338" w:rsidR="00B21A6B" w:rsidRDefault="00C97B9B" w:rsidP="00A634B1">
      <w:pPr>
        <w:pStyle w:val="ListParagraph"/>
        <w:contextualSpacing w:val="0"/>
      </w:pPr>
      <w:r w:rsidRPr="00C97B9B">
        <w:rPr>
          <w:i/>
        </w:rPr>
        <w:t>(c) Administrative costs.</w:t>
      </w:r>
      <w:r>
        <w:t xml:space="preserve"> The general administrative costs of aid agencies are necessary expenditures in delivering assistance, but they do not constitute resources specifically allocated to or available to </w:t>
      </w:r>
      <w:r w:rsidR="005E3B2B">
        <w:t xml:space="preserve">individual </w:t>
      </w:r>
      <w:r>
        <w:t xml:space="preserve">developing countries.  </w:t>
      </w:r>
    </w:p>
    <w:p w14:paraId="29C60896" w14:textId="77777777" w:rsidR="00A634B1" w:rsidRDefault="00A634B1" w:rsidP="00A634B1">
      <w:pPr>
        <w:pStyle w:val="ListParagraph"/>
        <w:contextualSpacing w:val="0"/>
        <w:rPr>
          <w:i/>
        </w:rPr>
      </w:pPr>
    </w:p>
    <w:p w14:paraId="0A99B821" w14:textId="0ED1B62E" w:rsidR="00AB42E9" w:rsidRDefault="00C97B9B" w:rsidP="00A634B1">
      <w:pPr>
        <w:pStyle w:val="ListParagraph"/>
        <w:contextualSpacing w:val="0"/>
      </w:pPr>
      <w:r w:rsidRPr="00961C6C">
        <w:rPr>
          <w:i/>
        </w:rPr>
        <w:t>(d) Peace and security expenditures.</w:t>
      </w:r>
      <w:r>
        <w:t xml:space="preserve"> </w:t>
      </w:r>
      <w:r w:rsidR="00343024">
        <w:t>The Group recogni</w:t>
      </w:r>
      <w:r w:rsidR="00BC2460">
        <w:t>z</w:t>
      </w:r>
      <w:r w:rsidR="00343024">
        <w:t>ed that peace and security are necessary pre-requisites for development, but also recogni</w:t>
      </w:r>
      <w:r w:rsidR="00FD3949">
        <w:t>z</w:t>
      </w:r>
      <w:r w:rsidR="00343024">
        <w:t xml:space="preserve">ed the focus of the Target on resources for developing countries. Limiting the coverage to those expenditures reportable as official development assistance </w:t>
      </w:r>
      <w:r w:rsidR="003778B2">
        <w:t xml:space="preserve">(ODA) </w:t>
      </w:r>
      <w:r w:rsidR="00343024">
        <w:t xml:space="preserve">ensures that the indicator only includes </w:t>
      </w:r>
      <w:r w:rsidR="00B21A6B">
        <w:t xml:space="preserve">peace- and security-related </w:t>
      </w:r>
      <w:r w:rsidR="00343024">
        <w:t>flows that have “the economic development and welfare of developing countries as their main objective”</w:t>
      </w:r>
      <w:r w:rsidR="006121C4">
        <w:t xml:space="preserve">. </w:t>
      </w:r>
      <w:proofErr w:type="gramStart"/>
      <w:r w:rsidR="003778B2">
        <w:t>In particular, t</w:t>
      </w:r>
      <w:r w:rsidR="006121C4">
        <w:t>his</w:t>
      </w:r>
      <w:proofErr w:type="gramEnd"/>
      <w:r w:rsidR="006121C4">
        <w:t xml:space="preserve"> will exclude</w:t>
      </w:r>
      <w:r w:rsidR="00A52263">
        <w:t xml:space="preserve"> flows designed to promote the provider’s security interests, activities involving the use or display of force, </w:t>
      </w:r>
      <w:r w:rsidR="006121C4">
        <w:t xml:space="preserve">any training that contributes to the fighting capacity of the armed forces, </w:t>
      </w:r>
      <w:r w:rsidR="00A52263">
        <w:t xml:space="preserve">and </w:t>
      </w:r>
      <w:r w:rsidR="006121C4">
        <w:t>any</w:t>
      </w:r>
      <w:r w:rsidR="00A52263">
        <w:t xml:space="preserve"> use of </w:t>
      </w:r>
      <w:r w:rsidR="006121C4">
        <w:t xml:space="preserve">donor or partner country </w:t>
      </w:r>
      <w:r w:rsidR="00A52263">
        <w:t>military personnel to control civil disobedience</w:t>
      </w:r>
      <w:r w:rsidR="006121C4">
        <w:t>.</w:t>
      </w:r>
      <w:r w:rsidR="00343024">
        <w:t xml:space="preserve"> </w:t>
      </w:r>
      <w:r w:rsidR="00406C73">
        <w:t xml:space="preserve">For more information on the ODA coverage of peace and security expenditures, see pages 36 to 43 </w:t>
      </w:r>
      <w:hyperlink r:id="rId15" w:history="1">
        <w:r w:rsidR="00406C73" w:rsidRPr="00406C73">
          <w:rPr>
            <w:rStyle w:val="Hyperlink"/>
          </w:rPr>
          <w:t>here</w:t>
        </w:r>
      </w:hyperlink>
      <w:r w:rsidR="00406C73">
        <w:t xml:space="preserve">. </w:t>
      </w:r>
      <w:r w:rsidR="005E3B2B">
        <w:t xml:space="preserve">The </w:t>
      </w:r>
      <w:r w:rsidR="00406C73">
        <w:t xml:space="preserve">TOSSD </w:t>
      </w:r>
      <w:r w:rsidR="000F60A2">
        <w:t>T</w:t>
      </w:r>
      <w:r w:rsidR="005E3B2B">
        <w:t xml:space="preserve">ask </w:t>
      </w:r>
      <w:r w:rsidR="000F60A2">
        <w:t>F</w:t>
      </w:r>
      <w:r w:rsidR="005E3B2B">
        <w:t xml:space="preserve">orce suggested an expanded </w:t>
      </w:r>
      <w:r w:rsidR="00406C73">
        <w:t xml:space="preserve">coverage of these expenditures </w:t>
      </w:r>
      <w:r w:rsidR="00C850A8">
        <w:t>(</w:t>
      </w:r>
      <w:r w:rsidR="00406C73">
        <w:t xml:space="preserve">see pages 37-38 </w:t>
      </w:r>
      <w:hyperlink r:id="rId16" w:history="1">
        <w:r w:rsidR="00406C73" w:rsidRPr="00406C73">
          <w:rPr>
            <w:rStyle w:val="Hyperlink"/>
          </w:rPr>
          <w:t>here</w:t>
        </w:r>
      </w:hyperlink>
      <w:proofErr w:type="gramStart"/>
      <w:r w:rsidR="00C850A8">
        <w:rPr>
          <w:rStyle w:val="Hyperlink"/>
        </w:rPr>
        <w:t>)</w:t>
      </w:r>
      <w:r w:rsidR="00B25777">
        <w:t xml:space="preserve">, </w:t>
      </w:r>
      <w:r w:rsidR="006121C4">
        <w:t>and</w:t>
      </w:r>
      <w:proofErr w:type="gramEnd"/>
      <w:r w:rsidR="006121C4">
        <w:t xml:space="preserve"> presented data on additional activities captured by TOSSD. However, this i</w:t>
      </w:r>
      <w:r w:rsidR="006357A9" w:rsidRPr="006357A9">
        <w:t xml:space="preserve">nformation raised </w:t>
      </w:r>
      <w:r w:rsidR="006121C4">
        <w:t>some</w:t>
      </w:r>
      <w:r w:rsidR="006121C4" w:rsidRPr="006357A9">
        <w:t xml:space="preserve"> </w:t>
      </w:r>
      <w:r w:rsidR="006357A9" w:rsidRPr="006357A9">
        <w:t>concerns and questions within the Working Group</w:t>
      </w:r>
      <w:r w:rsidR="006121C4">
        <w:t>, since it included activities in areas such as police liaison, defen</w:t>
      </w:r>
      <w:r w:rsidR="00FD3949">
        <w:t>c</w:t>
      </w:r>
      <w:r w:rsidR="006121C4">
        <w:t xml:space="preserve">e cooperation, and anti-drug and anti-terrorism operations that may have been substantially designed to serve providers’ </w:t>
      </w:r>
      <w:r w:rsidR="003778B2">
        <w:t xml:space="preserve">policing and </w:t>
      </w:r>
      <w:r w:rsidR="006121C4">
        <w:t>security interests.</w:t>
      </w:r>
    </w:p>
    <w:p w14:paraId="2DAE9BD8" w14:textId="77777777" w:rsidR="00A634B1" w:rsidRDefault="00A634B1" w:rsidP="00A634B1">
      <w:pPr>
        <w:pStyle w:val="ListParagraph"/>
        <w:contextualSpacing w:val="0"/>
      </w:pPr>
    </w:p>
    <w:p w14:paraId="463982EF" w14:textId="77777777" w:rsidR="00B21A6B" w:rsidRDefault="00961C6C" w:rsidP="00A634B1">
      <w:pPr>
        <w:pStyle w:val="ListParagraph"/>
        <w:numPr>
          <w:ilvl w:val="0"/>
          <w:numId w:val="1"/>
        </w:numPr>
        <w:contextualSpacing w:val="0"/>
      </w:pPr>
      <w:r>
        <w:t xml:space="preserve">Excluded flows: </w:t>
      </w:r>
    </w:p>
    <w:p w14:paraId="1CB8AF3C" w14:textId="77777777" w:rsidR="00A634B1" w:rsidRDefault="00A634B1" w:rsidP="00A634B1">
      <w:pPr>
        <w:pStyle w:val="ListParagraph"/>
        <w:contextualSpacing w:val="0"/>
        <w:rPr>
          <w:i/>
          <w:lang w:val="fr-FR"/>
        </w:rPr>
      </w:pPr>
    </w:p>
    <w:p w14:paraId="2760E677" w14:textId="1E9D89B5" w:rsidR="00B21A6B" w:rsidRDefault="00961C6C" w:rsidP="00A634B1">
      <w:pPr>
        <w:pStyle w:val="ListParagraph"/>
        <w:contextualSpacing w:val="0"/>
      </w:pPr>
      <w:r w:rsidRPr="00D63D1A">
        <w:rPr>
          <w:i/>
          <w:lang w:val="fr-FR"/>
        </w:rPr>
        <w:t xml:space="preserve">(a) </w:t>
      </w:r>
      <w:proofErr w:type="spellStart"/>
      <w:r w:rsidRPr="00D63D1A">
        <w:rPr>
          <w:i/>
          <w:lang w:val="fr-FR"/>
        </w:rPr>
        <w:t>Private</w:t>
      </w:r>
      <w:proofErr w:type="spellEnd"/>
      <w:r w:rsidRPr="00D63D1A">
        <w:rPr>
          <w:i/>
          <w:lang w:val="fr-FR"/>
        </w:rPr>
        <w:t xml:space="preserve"> non-</w:t>
      </w:r>
      <w:proofErr w:type="spellStart"/>
      <w:r w:rsidRPr="00D63D1A">
        <w:rPr>
          <w:i/>
          <w:lang w:val="fr-FR"/>
        </w:rPr>
        <w:t>concessional</w:t>
      </w:r>
      <w:proofErr w:type="spellEnd"/>
      <w:r w:rsidRPr="00D63D1A">
        <w:rPr>
          <w:i/>
          <w:lang w:val="fr-FR"/>
        </w:rPr>
        <w:t xml:space="preserve"> </w:t>
      </w:r>
      <w:proofErr w:type="spellStart"/>
      <w:r w:rsidRPr="00D63D1A">
        <w:rPr>
          <w:i/>
          <w:lang w:val="fr-FR"/>
        </w:rPr>
        <w:t>loans</w:t>
      </w:r>
      <w:proofErr w:type="spellEnd"/>
      <w:r w:rsidRPr="00D63D1A">
        <w:rPr>
          <w:i/>
          <w:lang w:val="fr-FR"/>
        </w:rPr>
        <w:t>.</w:t>
      </w:r>
      <w:r w:rsidRPr="00B21A6B">
        <w:rPr>
          <w:lang w:val="fr-FR"/>
        </w:rPr>
        <w:t xml:space="preserve"> </w:t>
      </w:r>
      <w:r>
        <w:t xml:space="preserve">Data on these </w:t>
      </w:r>
      <w:r w:rsidR="005176AE">
        <w:t xml:space="preserve">market-term </w:t>
      </w:r>
      <w:r>
        <w:t xml:space="preserve">loans </w:t>
      </w:r>
      <w:r w:rsidR="00B21A6B">
        <w:t>are only</w:t>
      </w:r>
      <w:r>
        <w:t xml:space="preserve"> available at ag</w:t>
      </w:r>
      <w:r w:rsidR="005176AE">
        <w:t>gregate level. While some individual flows would clearly contribute to sustainable development, at aggregate level</w:t>
      </w:r>
      <w:r>
        <w:t xml:space="preserve"> it was considered that</w:t>
      </w:r>
      <w:r w:rsidR="005176AE">
        <w:t xml:space="preserve"> it would be difficult to presume sustainable development impacts.  </w:t>
      </w:r>
    </w:p>
    <w:p w14:paraId="780A9A25" w14:textId="77777777" w:rsidR="00A634B1" w:rsidRDefault="00A634B1" w:rsidP="00A634B1">
      <w:pPr>
        <w:pStyle w:val="ListParagraph"/>
        <w:contextualSpacing w:val="0"/>
        <w:rPr>
          <w:i/>
        </w:rPr>
      </w:pPr>
    </w:p>
    <w:p w14:paraId="4B761C53" w14:textId="4DDB7B00" w:rsidR="00B21A6B" w:rsidRDefault="005176AE" w:rsidP="00A634B1">
      <w:pPr>
        <w:pStyle w:val="ListParagraph"/>
        <w:contextualSpacing w:val="0"/>
      </w:pPr>
      <w:r w:rsidRPr="005176AE">
        <w:rPr>
          <w:i/>
        </w:rPr>
        <w:t>(b) Portfolio investment.</w:t>
      </w:r>
      <w:r>
        <w:t xml:space="preserve"> This is investment which does not meet the tests of FDI (see above).  As with private non-</w:t>
      </w:r>
      <w:r w:rsidR="00B21A6B">
        <w:t>concessional</w:t>
      </w:r>
      <w:r>
        <w:t xml:space="preserve"> loans</w:t>
      </w:r>
      <w:r w:rsidR="00BC0D92">
        <w:t>,</w:t>
      </w:r>
      <w:r>
        <w:t xml:space="preserve"> data would only be available aggregate level and in the absence of activity-specific information it was considered that it would be difficult to presume sustainable development impacts.  </w:t>
      </w:r>
    </w:p>
    <w:p w14:paraId="2A134581" w14:textId="77777777" w:rsidR="00A634B1" w:rsidRDefault="00A634B1" w:rsidP="00A634B1">
      <w:pPr>
        <w:pStyle w:val="ListParagraph"/>
        <w:contextualSpacing w:val="0"/>
        <w:rPr>
          <w:i/>
        </w:rPr>
      </w:pPr>
    </w:p>
    <w:p w14:paraId="0D2985BB" w14:textId="49C873E7" w:rsidR="00B21A6B" w:rsidRDefault="005B3D92" w:rsidP="00A634B1">
      <w:pPr>
        <w:pStyle w:val="ListParagraph"/>
        <w:contextualSpacing w:val="0"/>
      </w:pPr>
      <w:r w:rsidRPr="005B3D92">
        <w:rPr>
          <w:i/>
        </w:rPr>
        <w:t>(c)</w:t>
      </w:r>
      <w:r>
        <w:t xml:space="preserve"> </w:t>
      </w:r>
      <w:r w:rsidR="005176AE" w:rsidRPr="005176AE">
        <w:rPr>
          <w:i/>
        </w:rPr>
        <w:t>Export credits</w:t>
      </w:r>
      <w:r w:rsidR="005176AE">
        <w:rPr>
          <w:i/>
        </w:rPr>
        <w:t xml:space="preserve">. </w:t>
      </w:r>
      <w:r w:rsidR="005176AE">
        <w:t xml:space="preserve">These are trade-facilitating </w:t>
      </w:r>
      <w:r w:rsidR="00B21A6B">
        <w:t xml:space="preserve">financial </w:t>
      </w:r>
      <w:r w:rsidR="005176AE">
        <w:t xml:space="preserve">instruments which as a rule must be offered at commercial terms. </w:t>
      </w:r>
      <w:r w:rsidR="00476A57">
        <w:t>E</w:t>
      </w:r>
      <w:r w:rsidR="00B21A6B">
        <w:t xml:space="preserve">xport credits </w:t>
      </w:r>
      <w:r w:rsidR="005176AE">
        <w:t xml:space="preserve">finance </w:t>
      </w:r>
      <w:r w:rsidR="00476A57">
        <w:t xml:space="preserve">developing countries’ </w:t>
      </w:r>
      <w:r w:rsidR="005176AE">
        <w:t>imports</w:t>
      </w:r>
      <w:r w:rsidR="00476A57">
        <w:t>. Some of these imports</w:t>
      </w:r>
      <w:r w:rsidR="005176AE">
        <w:t xml:space="preserve"> would have a positive impact on sustainable development, </w:t>
      </w:r>
      <w:r w:rsidR="00102E17">
        <w:t>but export credit</w:t>
      </w:r>
      <w:r w:rsidR="00B21A6B">
        <w:t xml:space="preserve"> </w:t>
      </w:r>
      <w:r w:rsidR="005176AE">
        <w:t xml:space="preserve">data </w:t>
      </w:r>
      <w:r w:rsidR="005176AE">
        <w:lastRenderedPageBreak/>
        <w:t>are often subject to confidentiality restrictions</w:t>
      </w:r>
      <w:r w:rsidR="00B21A6B">
        <w:t xml:space="preserve"> which would render</w:t>
      </w:r>
      <w:r w:rsidR="005176AE">
        <w:t xml:space="preserve"> </w:t>
      </w:r>
      <w:r w:rsidR="00B21A6B">
        <w:t>it difficult to</w:t>
      </w:r>
      <w:r w:rsidR="005176AE">
        <w:t xml:space="preserve"> elaborate a method for consistently </w:t>
      </w:r>
      <w:r>
        <w:t xml:space="preserve">and comprehensively identifying and recording these. </w:t>
      </w:r>
      <w:r w:rsidR="00102E17">
        <w:t xml:space="preserve">The imports themselves, </w:t>
      </w:r>
      <w:r w:rsidR="004A4938">
        <w:t>as trade flows, would not</w:t>
      </w:r>
      <w:r w:rsidR="00C93783">
        <w:t xml:space="preserve"> qualify under any of the proposed indicators.</w:t>
      </w:r>
      <w:r>
        <w:t xml:space="preserve"> </w:t>
      </w:r>
    </w:p>
    <w:p w14:paraId="75C5475A" w14:textId="77777777" w:rsidR="00A634B1" w:rsidRDefault="00A634B1" w:rsidP="00A634B1">
      <w:pPr>
        <w:pStyle w:val="ListParagraph"/>
        <w:contextualSpacing w:val="0"/>
        <w:rPr>
          <w:i/>
        </w:rPr>
      </w:pPr>
    </w:p>
    <w:p w14:paraId="0CFC07CA" w14:textId="405E1E82" w:rsidR="00B21A6B" w:rsidRDefault="005B3D92" w:rsidP="00A634B1">
      <w:pPr>
        <w:pStyle w:val="ListParagraph"/>
        <w:contextualSpacing w:val="0"/>
      </w:pPr>
      <w:r w:rsidRPr="005B3D92">
        <w:rPr>
          <w:i/>
        </w:rPr>
        <w:t>(d) Short-term flows.</w:t>
      </w:r>
      <w:r>
        <w:t xml:space="preserve"> </w:t>
      </w:r>
      <w:r w:rsidR="00B21A6B">
        <w:t xml:space="preserve">An emphasis on sustainability </w:t>
      </w:r>
      <w:r w:rsidR="000975A5">
        <w:t>suggest</w:t>
      </w:r>
      <w:r w:rsidR="00DD458A">
        <w:t>s</w:t>
      </w:r>
      <w:r w:rsidR="000975A5">
        <w:t xml:space="preserve"> that it may be advisable to exclude</w:t>
      </w:r>
      <w:r w:rsidR="00B21A6B">
        <w:t xml:space="preserve"> short-term flows</w:t>
      </w:r>
      <w:r>
        <w:t xml:space="preserve">, and </w:t>
      </w:r>
      <w:r w:rsidR="000975A5">
        <w:t xml:space="preserve">in any case </w:t>
      </w:r>
      <w:r>
        <w:t xml:space="preserve">no method was proposed that would consistently and comprehensively identify </w:t>
      </w:r>
      <w:r w:rsidR="000975A5">
        <w:t xml:space="preserve">all </w:t>
      </w:r>
      <w:r>
        <w:t xml:space="preserve">short-term flows with a sustainable development impact.  </w:t>
      </w:r>
    </w:p>
    <w:p w14:paraId="76165070" w14:textId="77777777" w:rsidR="00A634B1" w:rsidRDefault="00A634B1" w:rsidP="00A634B1">
      <w:pPr>
        <w:pStyle w:val="ListParagraph"/>
        <w:contextualSpacing w:val="0"/>
        <w:rPr>
          <w:i/>
        </w:rPr>
      </w:pPr>
    </w:p>
    <w:p w14:paraId="3BC39458" w14:textId="79901AE0" w:rsidR="00961C6C" w:rsidRDefault="005B3D92" w:rsidP="00A634B1">
      <w:pPr>
        <w:pStyle w:val="ListParagraph"/>
        <w:contextualSpacing w:val="0"/>
      </w:pPr>
      <w:r w:rsidRPr="00A77834">
        <w:rPr>
          <w:i/>
        </w:rPr>
        <w:t>(e) Other flows outside the scope of the proposed indicators.</w:t>
      </w:r>
      <w:r>
        <w:t xml:space="preserve"> This exclusion is designed to ensure that the indicators remain coherent and consistent in measuring </w:t>
      </w:r>
      <w:r w:rsidR="000975A5">
        <w:t xml:space="preserve">clearly </w:t>
      </w:r>
      <w:r>
        <w:t xml:space="preserve">identified types of financing across </w:t>
      </w:r>
      <w:r w:rsidR="00A77834">
        <w:t>all providers and recipients.</w:t>
      </w:r>
    </w:p>
    <w:p w14:paraId="763C4813" w14:textId="77777777" w:rsidR="00964862" w:rsidRDefault="00964862" w:rsidP="00A634B1">
      <w:pPr>
        <w:pStyle w:val="ListParagraph"/>
        <w:contextualSpacing w:val="0"/>
      </w:pPr>
    </w:p>
    <w:p w14:paraId="6EB33EDF" w14:textId="77777777" w:rsidR="00CE2FD5" w:rsidRDefault="003C09A5" w:rsidP="00CE2FD5">
      <w:pPr>
        <w:pStyle w:val="ListParagraph"/>
        <w:contextualSpacing w:val="0"/>
      </w:pPr>
      <w:r>
        <w:t>A</w:t>
      </w:r>
      <w:r w:rsidR="00846465">
        <w:t>s noted in the proposal, a</w:t>
      </w:r>
      <w:r w:rsidR="00E570BD">
        <w:t xml:space="preserve">n </w:t>
      </w:r>
      <w:r w:rsidR="00C4020F">
        <w:t xml:space="preserve">alternative </w:t>
      </w:r>
      <w:r w:rsidR="00852D38">
        <w:t xml:space="preserve">suggestion </w:t>
      </w:r>
      <w:r w:rsidR="00C4020F">
        <w:t xml:space="preserve">to (e) </w:t>
      </w:r>
      <w:r w:rsidR="00852D38">
        <w:t xml:space="preserve">was to add a seventh sub-indicator </w:t>
      </w:r>
      <w:r>
        <w:t xml:space="preserve">to capture </w:t>
      </w:r>
      <w:r w:rsidR="00852D38">
        <w:t xml:space="preserve">either all other instruments or only those </w:t>
      </w:r>
      <w:r>
        <w:t>official instruments that mobilize</w:t>
      </w:r>
      <w:r w:rsidR="00852D38">
        <w:t>d</w:t>
      </w:r>
      <w:r>
        <w:t xml:space="preserve"> private finance (</w:t>
      </w:r>
      <w:proofErr w:type="gramStart"/>
      <w:r w:rsidR="00852D38">
        <w:t>i.e.</w:t>
      </w:r>
      <w:proofErr w:type="gramEnd"/>
      <w:r w:rsidR="00852D38">
        <w:t xml:space="preserve"> that supported the flows</w:t>
      </w:r>
      <w:r w:rsidR="00A848E3">
        <w:t xml:space="preserve"> under </w:t>
      </w:r>
      <w:r>
        <w:t>sub-indicator 17.3.1.e).</w:t>
      </w:r>
      <w:r w:rsidR="00E570BD">
        <w:t xml:space="preserve"> However, this would include instruments such as guarantees that are not considered </w:t>
      </w:r>
      <w:r w:rsidR="00FB5254">
        <w:t>additional resources for developing countries</w:t>
      </w:r>
      <w:r w:rsidR="005E4E46">
        <w:t xml:space="preserve">. </w:t>
      </w:r>
      <w:r w:rsidR="00337D31">
        <w:t xml:space="preserve">For example, the value or cost of a guarantee does not increase the flow to the developing country from the loan or investment guaranteed. </w:t>
      </w:r>
    </w:p>
    <w:p w14:paraId="5BBB11C0" w14:textId="77777777" w:rsidR="00CE2FD5" w:rsidRDefault="00CE2FD5" w:rsidP="00CE2FD5">
      <w:pPr>
        <w:pStyle w:val="ListParagraph"/>
        <w:contextualSpacing w:val="0"/>
      </w:pPr>
    </w:p>
    <w:p w14:paraId="4F2CEC17" w14:textId="78198039" w:rsidR="003C09A5" w:rsidRDefault="00C50042" w:rsidP="00CE2FD5">
      <w:pPr>
        <w:pStyle w:val="ListParagraph"/>
        <w:contextualSpacing w:val="0"/>
      </w:pPr>
      <w:r>
        <w:t>A</w:t>
      </w:r>
      <w:r w:rsidR="00CE2FD5">
        <w:t>nother</w:t>
      </w:r>
      <w:r w:rsidR="00337D31">
        <w:t xml:space="preserve"> </w:t>
      </w:r>
      <w:r w:rsidR="0076595A">
        <w:t>issue</w:t>
      </w:r>
      <w:r w:rsidR="00337D31">
        <w:t xml:space="preserve"> with a “miscellaneous” item is that it would mix </w:t>
      </w:r>
      <w:r>
        <w:t xml:space="preserve">in a single aggregate </w:t>
      </w:r>
      <w:r w:rsidR="00337D31">
        <w:t xml:space="preserve">flows </w:t>
      </w:r>
      <w:r>
        <w:t xml:space="preserve">(and potentially also non-flows) that had </w:t>
      </w:r>
      <w:r w:rsidR="00337D31">
        <w:t xml:space="preserve">different natures, impacts, and </w:t>
      </w:r>
      <w:proofErr w:type="spellStart"/>
      <w:r w:rsidR="00337D31">
        <w:t>concessionalities</w:t>
      </w:r>
      <w:proofErr w:type="spellEnd"/>
      <w:r w:rsidR="00337D31">
        <w:t xml:space="preserve">, which </w:t>
      </w:r>
      <w:r>
        <w:t>would seem to be</w:t>
      </w:r>
      <w:r w:rsidR="00337D31">
        <w:t xml:space="preserve"> contrary to the spirit of the Addis Ababa Action Agenda and the UN’s approach to tracking Financing for Development.</w:t>
      </w:r>
      <w:r>
        <w:t xml:space="preserve"> Moreover, f</w:t>
      </w:r>
      <w:r w:rsidR="00626037">
        <w:t>rom a statistical point of view</w:t>
      </w:r>
      <w:r>
        <w:t>,</w:t>
      </w:r>
      <w:r w:rsidR="00626037">
        <w:t xml:space="preserve"> </w:t>
      </w:r>
      <w:r w:rsidR="0076595A">
        <w:t xml:space="preserve">miscellaneous items effectively create </w:t>
      </w:r>
      <w:r w:rsidR="00626037">
        <w:t>“open bucket</w:t>
      </w:r>
      <w:r w:rsidR="0076595A">
        <w:t>s</w:t>
      </w:r>
      <w:r w:rsidR="00626037">
        <w:t>” into which new flow and non-flow instruments could be progressively</w:t>
      </w:r>
      <w:r w:rsidR="0076595A">
        <w:t xml:space="preserve"> added</w:t>
      </w:r>
      <w:r w:rsidR="00A848E3">
        <w:t>, impairing the comparability of data over time</w:t>
      </w:r>
      <w:r w:rsidR="0076595A">
        <w:t>.</w:t>
      </w:r>
      <w:r w:rsidR="00E36207">
        <w:t xml:space="preserve"> Another option would be to propose an additional indicator </w:t>
      </w:r>
      <w:r w:rsidR="00490FE8">
        <w:t xml:space="preserve">in the context of </w:t>
      </w:r>
      <w:r w:rsidR="00E36207">
        <w:t>the 2025 comprehensive review.</w:t>
      </w:r>
    </w:p>
    <w:p w14:paraId="47558EF8" w14:textId="77777777" w:rsidR="003C09A5" w:rsidRDefault="003C09A5" w:rsidP="00A634B1">
      <w:pPr>
        <w:pStyle w:val="ListParagraph"/>
        <w:contextualSpacing w:val="0"/>
      </w:pPr>
    </w:p>
    <w:p w14:paraId="13EB9B82" w14:textId="57B2A6B6" w:rsidR="00CE16A3" w:rsidRPr="00E16F88" w:rsidRDefault="004024D9" w:rsidP="00A634B1">
      <w:pPr>
        <w:pStyle w:val="Heading4"/>
        <w:keepNext w:val="0"/>
        <w:keepLines w:val="0"/>
        <w:spacing w:before="0"/>
        <w:jc w:val="center"/>
        <w:rPr>
          <w:i w:val="0"/>
        </w:rPr>
      </w:pPr>
      <w:r w:rsidRPr="00E16F88">
        <w:rPr>
          <w:i w:val="0"/>
        </w:rPr>
        <w:t>***</w:t>
      </w:r>
    </w:p>
    <w:sectPr w:rsidR="00CE16A3" w:rsidRPr="00E16F8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9CF9" w14:textId="77777777" w:rsidR="006B156A" w:rsidRDefault="006B156A" w:rsidP="004A7CC9">
      <w:r>
        <w:separator/>
      </w:r>
    </w:p>
  </w:endnote>
  <w:endnote w:type="continuationSeparator" w:id="0">
    <w:p w14:paraId="7DF1EA2C" w14:textId="77777777" w:rsidR="006B156A" w:rsidRDefault="006B156A" w:rsidP="004A7CC9">
      <w:r>
        <w:continuationSeparator/>
      </w:r>
    </w:p>
  </w:endnote>
  <w:endnote w:type="continuationNotice" w:id="1">
    <w:p w14:paraId="6CF0A6A0" w14:textId="77777777" w:rsidR="006B156A" w:rsidRDefault="006B1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2AD0" w14:textId="77777777" w:rsidR="00681833" w:rsidRDefault="00681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CB8C" w14:textId="77777777" w:rsidR="006B156A" w:rsidRDefault="006B156A" w:rsidP="004A7CC9">
      <w:r>
        <w:separator/>
      </w:r>
    </w:p>
  </w:footnote>
  <w:footnote w:type="continuationSeparator" w:id="0">
    <w:p w14:paraId="6D45238D" w14:textId="77777777" w:rsidR="006B156A" w:rsidRDefault="006B156A" w:rsidP="004A7CC9">
      <w:r>
        <w:continuationSeparator/>
      </w:r>
    </w:p>
  </w:footnote>
  <w:footnote w:type="continuationNotice" w:id="1">
    <w:p w14:paraId="760DB2DE" w14:textId="77777777" w:rsidR="006B156A" w:rsidRDefault="006B1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8A54" w14:textId="77777777" w:rsidR="00681833" w:rsidRDefault="00681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951"/>
    <w:multiLevelType w:val="hybridMultilevel"/>
    <w:tmpl w:val="7FFAFEE0"/>
    <w:lvl w:ilvl="0" w:tplc="5B7E8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1D28"/>
    <w:multiLevelType w:val="hybridMultilevel"/>
    <w:tmpl w:val="6A468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067E3"/>
    <w:multiLevelType w:val="hybridMultilevel"/>
    <w:tmpl w:val="92AC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36E24"/>
    <w:multiLevelType w:val="hybridMultilevel"/>
    <w:tmpl w:val="82209B4C"/>
    <w:lvl w:ilvl="0" w:tplc="C3C4BA7A">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52369"/>
    <w:multiLevelType w:val="hybridMultilevel"/>
    <w:tmpl w:val="7814F35A"/>
    <w:lvl w:ilvl="0" w:tplc="EF3EE4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99F1AD8"/>
    <w:multiLevelType w:val="hybridMultilevel"/>
    <w:tmpl w:val="011E276C"/>
    <w:lvl w:ilvl="0" w:tplc="FA74E93A">
      <w:start w:val="17"/>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8E4695"/>
    <w:multiLevelType w:val="hybridMultilevel"/>
    <w:tmpl w:val="C7EC6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B7"/>
    <w:rsid w:val="00002262"/>
    <w:rsid w:val="00007763"/>
    <w:rsid w:val="00011CAE"/>
    <w:rsid w:val="00014D03"/>
    <w:rsid w:val="000230D1"/>
    <w:rsid w:val="00034C18"/>
    <w:rsid w:val="00034E96"/>
    <w:rsid w:val="000355E0"/>
    <w:rsid w:val="00051540"/>
    <w:rsid w:val="00054BA1"/>
    <w:rsid w:val="0007578A"/>
    <w:rsid w:val="000758A7"/>
    <w:rsid w:val="0007630D"/>
    <w:rsid w:val="00081B44"/>
    <w:rsid w:val="00083036"/>
    <w:rsid w:val="000975A5"/>
    <w:rsid w:val="00097A75"/>
    <w:rsid w:val="000B5D7E"/>
    <w:rsid w:val="000C53DA"/>
    <w:rsid w:val="000C6BF5"/>
    <w:rsid w:val="000C6F8A"/>
    <w:rsid w:val="000D2722"/>
    <w:rsid w:val="000D3E48"/>
    <w:rsid w:val="000E1465"/>
    <w:rsid w:val="000E3543"/>
    <w:rsid w:val="000E7BBA"/>
    <w:rsid w:val="000F2EC8"/>
    <w:rsid w:val="000F3BA8"/>
    <w:rsid w:val="000F3F97"/>
    <w:rsid w:val="000F462F"/>
    <w:rsid w:val="000F5586"/>
    <w:rsid w:val="000F5E91"/>
    <w:rsid w:val="000F60A2"/>
    <w:rsid w:val="000F654D"/>
    <w:rsid w:val="00102B86"/>
    <w:rsid w:val="00102E17"/>
    <w:rsid w:val="00117940"/>
    <w:rsid w:val="00120355"/>
    <w:rsid w:val="00126C7A"/>
    <w:rsid w:val="001317B1"/>
    <w:rsid w:val="00132C21"/>
    <w:rsid w:val="001366F8"/>
    <w:rsid w:val="00136714"/>
    <w:rsid w:val="00143C4B"/>
    <w:rsid w:val="00147973"/>
    <w:rsid w:val="001516BC"/>
    <w:rsid w:val="0015385C"/>
    <w:rsid w:val="00155C68"/>
    <w:rsid w:val="00182CE8"/>
    <w:rsid w:val="00184A92"/>
    <w:rsid w:val="00186E0C"/>
    <w:rsid w:val="0018782F"/>
    <w:rsid w:val="001A2A16"/>
    <w:rsid w:val="001A3B3D"/>
    <w:rsid w:val="001A5581"/>
    <w:rsid w:val="001D14CC"/>
    <w:rsid w:val="001E6B39"/>
    <w:rsid w:val="001F2234"/>
    <w:rsid w:val="001F43FD"/>
    <w:rsid w:val="002023AB"/>
    <w:rsid w:val="00203593"/>
    <w:rsid w:val="002133FD"/>
    <w:rsid w:val="00214B96"/>
    <w:rsid w:val="002215E0"/>
    <w:rsid w:val="002215FC"/>
    <w:rsid w:val="00223D05"/>
    <w:rsid w:val="00224A04"/>
    <w:rsid w:val="00226B7C"/>
    <w:rsid w:val="00230F29"/>
    <w:rsid w:val="00231994"/>
    <w:rsid w:val="00233BE3"/>
    <w:rsid w:val="00240829"/>
    <w:rsid w:val="00254E98"/>
    <w:rsid w:val="00255CFF"/>
    <w:rsid w:val="00264870"/>
    <w:rsid w:val="00270307"/>
    <w:rsid w:val="002715D7"/>
    <w:rsid w:val="00275266"/>
    <w:rsid w:val="0027643E"/>
    <w:rsid w:val="00281F57"/>
    <w:rsid w:val="00283C22"/>
    <w:rsid w:val="00292CDF"/>
    <w:rsid w:val="002B413A"/>
    <w:rsid w:val="002C436D"/>
    <w:rsid w:val="002C61EF"/>
    <w:rsid w:val="002D07F4"/>
    <w:rsid w:val="002D4D2D"/>
    <w:rsid w:val="002E1AC5"/>
    <w:rsid w:val="002E2C4B"/>
    <w:rsid w:val="002F10C5"/>
    <w:rsid w:val="002F25B5"/>
    <w:rsid w:val="002F681B"/>
    <w:rsid w:val="003057F2"/>
    <w:rsid w:val="0030708B"/>
    <w:rsid w:val="00307143"/>
    <w:rsid w:val="00317650"/>
    <w:rsid w:val="00317ABD"/>
    <w:rsid w:val="00326391"/>
    <w:rsid w:val="0032655A"/>
    <w:rsid w:val="00326A57"/>
    <w:rsid w:val="00326B11"/>
    <w:rsid w:val="00332404"/>
    <w:rsid w:val="00332D7F"/>
    <w:rsid w:val="00337D31"/>
    <w:rsid w:val="003411A3"/>
    <w:rsid w:val="00343024"/>
    <w:rsid w:val="00344D5C"/>
    <w:rsid w:val="00347986"/>
    <w:rsid w:val="00352706"/>
    <w:rsid w:val="00354EFF"/>
    <w:rsid w:val="00356CEC"/>
    <w:rsid w:val="0036094F"/>
    <w:rsid w:val="00361B8B"/>
    <w:rsid w:val="00366FA1"/>
    <w:rsid w:val="003778B2"/>
    <w:rsid w:val="00381807"/>
    <w:rsid w:val="00385B1B"/>
    <w:rsid w:val="003872AE"/>
    <w:rsid w:val="00390453"/>
    <w:rsid w:val="003A66AB"/>
    <w:rsid w:val="003A79BC"/>
    <w:rsid w:val="003B6188"/>
    <w:rsid w:val="003B7D84"/>
    <w:rsid w:val="003C09A5"/>
    <w:rsid w:val="003C2B0C"/>
    <w:rsid w:val="003C7945"/>
    <w:rsid w:val="003D65A0"/>
    <w:rsid w:val="003E5094"/>
    <w:rsid w:val="003E5645"/>
    <w:rsid w:val="003E5DF8"/>
    <w:rsid w:val="003E70CF"/>
    <w:rsid w:val="003E7BBE"/>
    <w:rsid w:val="003F1E8A"/>
    <w:rsid w:val="00401AAC"/>
    <w:rsid w:val="004024D9"/>
    <w:rsid w:val="00403E92"/>
    <w:rsid w:val="00404505"/>
    <w:rsid w:val="00406C73"/>
    <w:rsid w:val="004076DF"/>
    <w:rsid w:val="0040776D"/>
    <w:rsid w:val="004217BB"/>
    <w:rsid w:val="00433321"/>
    <w:rsid w:val="004355AE"/>
    <w:rsid w:val="0043618E"/>
    <w:rsid w:val="00441AB2"/>
    <w:rsid w:val="00446BF2"/>
    <w:rsid w:val="0046489B"/>
    <w:rsid w:val="00465513"/>
    <w:rsid w:val="00465DF1"/>
    <w:rsid w:val="004747DE"/>
    <w:rsid w:val="004762F1"/>
    <w:rsid w:val="00476A57"/>
    <w:rsid w:val="004817A4"/>
    <w:rsid w:val="00490FE8"/>
    <w:rsid w:val="004A059D"/>
    <w:rsid w:val="004A3DF4"/>
    <w:rsid w:val="004A4938"/>
    <w:rsid w:val="004A7CC9"/>
    <w:rsid w:val="004B2B27"/>
    <w:rsid w:val="004B2E8E"/>
    <w:rsid w:val="004B6C5A"/>
    <w:rsid w:val="004B6D47"/>
    <w:rsid w:val="004C228F"/>
    <w:rsid w:val="004C524E"/>
    <w:rsid w:val="004C6493"/>
    <w:rsid w:val="004D6640"/>
    <w:rsid w:val="004D672C"/>
    <w:rsid w:val="004D7BDF"/>
    <w:rsid w:val="004E0C82"/>
    <w:rsid w:val="004E1CAA"/>
    <w:rsid w:val="004E20E3"/>
    <w:rsid w:val="004E453F"/>
    <w:rsid w:val="004E573C"/>
    <w:rsid w:val="004E68E9"/>
    <w:rsid w:val="004F08A6"/>
    <w:rsid w:val="004F3BB3"/>
    <w:rsid w:val="00501B98"/>
    <w:rsid w:val="00503E67"/>
    <w:rsid w:val="00504791"/>
    <w:rsid w:val="00515A62"/>
    <w:rsid w:val="005176AE"/>
    <w:rsid w:val="00523388"/>
    <w:rsid w:val="00523978"/>
    <w:rsid w:val="00525B8F"/>
    <w:rsid w:val="00526969"/>
    <w:rsid w:val="00531D8F"/>
    <w:rsid w:val="00536F13"/>
    <w:rsid w:val="005430A2"/>
    <w:rsid w:val="00553DDF"/>
    <w:rsid w:val="00557F4B"/>
    <w:rsid w:val="005739CB"/>
    <w:rsid w:val="00575D5E"/>
    <w:rsid w:val="00583C12"/>
    <w:rsid w:val="00583D39"/>
    <w:rsid w:val="00585AF0"/>
    <w:rsid w:val="00585F0C"/>
    <w:rsid w:val="00591094"/>
    <w:rsid w:val="00591266"/>
    <w:rsid w:val="00593CB1"/>
    <w:rsid w:val="00595F3A"/>
    <w:rsid w:val="005967B9"/>
    <w:rsid w:val="005A426D"/>
    <w:rsid w:val="005A58C5"/>
    <w:rsid w:val="005B27F0"/>
    <w:rsid w:val="005B306E"/>
    <w:rsid w:val="005B3D92"/>
    <w:rsid w:val="005B6750"/>
    <w:rsid w:val="005C272C"/>
    <w:rsid w:val="005C2A77"/>
    <w:rsid w:val="005D0920"/>
    <w:rsid w:val="005D73A1"/>
    <w:rsid w:val="005E0551"/>
    <w:rsid w:val="005E0DDE"/>
    <w:rsid w:val="005E3B2B"/>
    <w:rsid w:val="005E432A"/>
    <w:rsid w:val="005E4E46"/>
    <w:rsid w:val="005E5B6E"/>
    <w:rsid w:val="005F729F"/>
    <w:rsid w:val="005F78C1"/>
    <w:rsid w:val="0060714D"/>
    <w:rsid w:val="006121C4"/>
    <w:rsid w:val="00612860"/>
    <w:rsid w:val="006139AE"/>
    <w:rsid w:val="00614214"/>
    <w:rsid w:val="00622A2B"/>
    <w:rsid w:val="00623387"/>
    <w:rsid w:val="00623AE6"/>
    <w:rsid w:val="00626037"/>
    <w:rsid w:val="006329D7"/>
    <w:rsid w:val="00633E47"/>
    <w:rsid w:val="006357A9"/>
    <w:rsid w:val="00640767"/>
    <w:rsid w:val="00642424"/>
    <w:rsid w:val="0064382C"/>
    <w:rsid w:val="00644ED8"/>
    <w:rsid w:val="00645B3A"/>
    <w:rsid w:val="00647AE7"/>
    <w:rsid w:val="00667322"/>
    <w:rsid w:val="006734E0"/>
    <w:rsid w:val="006736B8"/>
    <w:rsid w:val="00681833"/>
    <w:rsid w:val="00682550"/>
    <w:rsid w:val="00684890"/>
    <w:rsid w:val="006869EF"/>
    <w:rsid w:val="006874B8"/>
    <w:rsid w:val="00692B72"/>
    <w:rsid w:val="00696E32"/>
    <w:rsid w:val="006A1A8A"/>
    <w:rsid w:val="006B156A"/>
    <w:rsid w:val="006B47FC"/>
    <w:rsid w:val="006B6FE5"/>
    <w:rsid w:val="006C1178"/>
    <w:rsid w:val="006C5231"/>
    <w:rsid w:val="006D13FF"/>
    <w:rsid w:val="006E06C8"/>
    <w:rsid w:val="006E15CF"/>
    <w:rsid w:val="006E7EE4"/>
    <w:rsid w:val="006F5297"/>
    <w:rsid w:val="00702470"/>
    <w:rsid w:val="0070387C"/>
    <w:rsid w:val="007109EB"/>
    <w:rsid w:val="00715FDE"/>
    <w:rsid w:val="0072018D"/>
    <w:rsid w:val="0072119D"/>
    <w:rsid w:val="007213FD"/>
    <w:rsid w:val="007237EA"/>
    <w:rsid w:val="00725CA1"/>
    <w:rsid w:val="00733057"/>
    <w:rsid w:val="007352E8"/>
    <w:rsid w:val="00737C78"/>
    <w:rsid w:val="00740874"/>
    <w:rsid w:val="00744BDB"/>
    <w:rsid w:val="00751839"/>
    <w:rsid w:val="007576D8"/>
    <w:rsid w:val="00762808"/>
    <w:rsid w:val="0076595A"/>
    <w:rsid w:val="007710F9"/>
    <w:rsid w:val="0078020F"/>
    <w:rsid w:val="007865A3"/>
    <w:rsid w:val="00794C5A"/>
    <w:rsid w:val="00797FA9"/>
    <w:rsid w:val="007A3A45"/>
    <w:rsid w:val="007D33D2"/>
    <w:rsid w:val="007D5705"/>
    <w:rsid w:val="007D62DA"/>
    <w:rsid w:val="007E488C"/>
    <w:rsid w:val="007E7A20"/>
    <w:rsid w:val="007F2B07"/>
    <w:rsid w:val="007F3791"/>
    <w:rsid w:val="008019EE"/>
    <w:rsid w:val="00814E0F"/>
    <w:rsid w:val="008214E4"/>
    <w:rsid w:val="0082585F"/>
    <w:rsid w:val="008259DA"/>
    <w:rsid w:val="00826B9B"/>
    <w:rsid w:val="00832940"/>
    <w:rsid w:val="0083358F"/>
    <w:rsid w:val="00833AE2"/>
    <w:rsid w:val="00834630"/>
    <w:rsid w:val="00835578"/>
    <w:rsid w:val="008441C8"/>
    <w:rsid w:val="00846465"/>
    <w:rsid w:val="00847F3C"/>
    <w:rsid w:val="00851CBF"/>
    <w:rsid w:val="00852D38"/>
    <w:rsid w:val="00861AF2"/>
    <w:rsid w:val="0086349A"/>
    <w:rsid w:val="0086676F"/>
    <w:rsid w:val="00866F50"/>
    <w:rsid w:val="0087005F"/>
    <w:rsid w:val="00872662"/>
    <w:rsid w:val="0087797D"/>
    <w:rsid w:val="008811CF"/>
    <w:rsid w:val="00881DE8"/>
    <w:rsid w:val="0088226A"/>
    <w:rsid w:val="0088731F"/>
    <w:rsid w:val="008979B6"/>
    <w:rsid w:val="008A1B74"/>
    <w:rsid w:val="008A5E19"/>
    <w:rsid w:val="008C1091"/>
    <w:rsid w:val="008C22F1"/>
    <w:rsid w:val="008C5D80"/>
    <w:rsid w:val="008E0A38"/>
    <w:rsid w:val="008E0FA5"/>
    <w:rsid w:val="008F026E"/>
    <w:rsid w:val="00901D50"/>
    <w:rsid w:val="00904E0B"/>
    <w:rsid w:val="0091091D"/>
    <w:rsid w:val="00912027"/>
    <w:rsid w:val="00920B85"/>
    <w:rsid w:val="009221A0"/>
    <w:rsid w:val="00922288"/>
    <w:rsid w:val="0092435B"/>
    <w:rsid w:val="009253D6"/>
    <w:rsid w:val="009274AB"/>
    <w:rsid w:val="0093260E"/>
    <w:rsid w:val="0093479C"/>
    <w:rsid w:val="00943B70"/>
    <w:rsid w:val="0094400E"/>
    <w:rsid w:val="0095009C"/>
    <w:rsid w:val="009573FA"/>
    <w:rsid w:val="00961C6C"/>
    <w:rsid w:val="00962EA4"/>
    <w:rsid w:val="009647F0"/>
    <w:rsid w:val="00964862"/>
    <w:rsid w:val="009825C0"/>
    <w:rsid w:val="00996602"/>
    <w:rsid w:val="009A1B23"/>
    <w:rsid w:val="009B32C5"/>
    <w:rsid w:val="009C0FB5"/>
    <w:rsid w:val="009D02CD"/>
    <w:rsid w:val="009D1FF7"/>
    <w:rsid w:val="009E0F04"/>
    <w:rsid w:val="009F4FF0"/>
    <w:rsid w:val="009F5459"/>
    <w:rsid w:val="009F7DE8"/>
    <w:rsid w:val="00A101E9"/>
    <w:rsid w:val="00A16D6E"/>
    <w:rsid w:val="00A1786A"/>
    <w:rsid w:val="00A25EB4"/>
    <w:rsid w:val="00A2753B"/>
    <w:rsid w:val="00A40C57"/>
    <w:rsid w:val="00A4266C"/>
    <w:rsid w:val="00A441AE"/>
    <w:rsid w:val="00A45B94"/>
    <w:rsid w:val="00A51525"/>
    <w:rsid w:val="00A52263"/>
    <w:rsid w:val="00A54917"/>
    <w:rsid w:val="00A551EF"/>
    <w:rsid w:val="00A60837"/>
    <w:rsid w:val="00A63017"/>
    <w:rsid w:val="00A634B1"/>
    <w:rsid w:val="00A65BCB"/>
    <w:rsid w:val="00A71F59"/>
    <w:rsid w:val="00A77834"/>
    <w:rsid w:val="00A848E3"/>
    <w:rsid w:val="00A91B45"/>
    <w:rsid w:val="00A93F23"/>
    <w:rsid w:val="00A9423C"/>
    <w:rsid w:val="00A96315"/>
    <w:rsid w:val="00AA0F90"/>
    <w:rsid w:val="00AA1F93"/>
    <w:rsid w:val="00AB1A77"/>
    <w:rsid w:val="00AB42E9"/>
    <w:rsid w:val="00AE044F"/>
    <w:rsid w:val="00AE055C"/>
    <w:rsid w:val="00AE11E3"/>
    <w:rsid w:val="00AF6949"/>
    <w:rsid w:val="00B07A4B"/>
    <w:rsid w:val="00B21A6B"/>
    <w:rsid w:val="00B21D0F"/>
    <w:rsid w:val="00B23716"/>
    <w:rsid w:val="00B25777"/>
    <w:rsid w:val="00B26762"/>
    <w:rsid w:val="00B336C2"/>
    <w:rsid w:val="00B35818"/>
    <w:rsid w:val="00B36173"/>
    <w:rsid w:val="00B365A6"/>
    <w:rsid w:val="00B43AF4"/>
    <w:rsid w:val="00B66024"/>
    <w:rsid w:val="00B664B7"/>
    <w:rsid w:val="00B743D3"/>
    <w:rsid w:val="00B84D4C"/>
    <w:rsid w:val="00B8641E"/>
    <w:rsid w:val="00B91D94"/>
    <w:rsid w:val="00B94DCB"/>
    <w:rsid w:val="00BA13FA"/>
    <w:rsid w:val="00BA1476"/>
    <w:rsid w:val="00BA1A40"/>
    <w:rsid w:val="00BA4A0C"/>
    <w:rsid w:val="00BA734C"/>
    <w:rsid w:val="00BB0037"/>
    <w:rsid w:val="00BC0D92"/>
    <w:rsid w:val="00BC10F9"/>
    <w:rsid w:val="00BC2460"/>
    <w:rsid w:val="00BC52A5"/>
    <w:rsid w:val="00BD3AC2"/>
    <w:rsid w:val="00BD5141"/>
    <w:rsid w:val="00BE4498"/>
    <w:rsid w:val="00BF0678"/>
    <w:rsid w:val="00BF4365"/>
    <w:rsid w:val="00C02227"/>
    <w:rsid w:val="00C04988"/>
    <w:rsid w:val="00C067BF"/>
    <w:rsid w:val="00C1171D"/>
    <w:rsid w:val="00C122F5"/>
    <w:rsid w:val="00C17123"/>
    <w:rsid w:val="00C26A4C"/>
    <w:rsid w:val="00C32733"/>
    <w:rsid w:val="00C35D32"/>
    <w:rsid w:val="00C4020F"/>
    <w:rsid w:val="00C41AF0"/>
    <w:rsid w:val="00C42D9B"/>
    <w:rsid w:val="00C44B15"/>
    <w:rsid w:val="00C50042"/>
    <w:rsid w:val="00C5098B"/>
    <w:rsid w:val="00C51522"/>
    <w:rsid w:val="00C54014"/>
    <w:rsid w:val="00C548BD"/>
    <w:rsid w:val="00C560FD"/>
    <w:rsid w:val="00C63FC5"/>
    <w:rsid w:val="00C65261"/>
    <w:rsid w:val="00C673BD"/>
    <w:rsid w:val="00C673CB"/>
    <w:rsid w:val="00C80AF8"/>
    <w:rsid w:val="00C850A8"/>
    <w:rsid w:val="00C907E0"/>
    <w:rsid w:val="00C90A22"/>
    <w:rsid w:val="00C93783"/>
    <w:rsid w:val="00C9558E"/>
    <w:rsid w:val="00C97B9B"/>
    <w:rsid w:val="00CA33E0"/>
    <w:rsid w:val="00CC03DD"/>
    <w:rsid w:val="00CC3436"/>
    <w:rsid w:val="00CD5083"/>
    <w:rsid w:val="00CE16A3"/>
    <w:rsid w:val="00CE2FD5"/>
    <w:rsid w:val="00CF6442"/>
    <w:rsid w:val="00D1671E"/>
    <w:rsid w:val="00D168B9"/>
    <w:rsid w:val="00D20440"/>
    <w:rsid w:val="00D37286"/>
    <w:rsid w:val="00D40736"/>
    <w:rsid w:val="00D450AD"/>
    <w:rsid w:val="00D46B45"/>
    <w:rsid w:val="00D61878"/>
    <w:rsid w:val="00D61B9B"/>
    <w:rsid w:val="00D63D1A"/>
    <w:rsid w:val="00D65380"/>
    <w:rsid w:val="00D701A0"/>
    <w:rsid w:val="00D83AEC"/>
    <w:rsid w:val="00D86A35"/>
    <w:rsid w:val="00D870ED"/>
    <w:rsid w:val="00D9565A"/>
    <w:rsid w:val="00DA333C"/>
    <w:rsid w:val="00DA3ACF"/>
    <w:rsid w:val="00DA711B"/>
    <w:rsid w:val="00DB38F0"/>
    <w:rsid w:val="00DB6A9F"/>
    <w:rsid w:val="00DC0D09"/>
    <w:rsid w:val="00DC16D4"/>
    <w:rsid w:val="00DD0BB9"/>
    <w:rsid w:val="00DD458A"/>
    <w:rsid w:val="00DD71F6"/>
    <w:rsid w:val="00DE1586"/>
    <w:rsid w:val="00DE246F"/>
    <w:rsid w:val="00DE5979"/>
    <w:rsid w:val="00DF0280"/>
    <w:rsid w:val="00DF18AE"/>
    <w:rsid w:val="00E0701D"/>
    <w:rsid w:val="00E1488B"/>
    <w:rsid w:val="00E1645C"/>
    <w:rsid w:val="00E16B0A"/>
    <w:rsid w:val="00E16F88"/>
    <w:rsid w:val="00E23382"/>
    <w:rsid w:val="00E26AF2"/>
    <w:rsid w:val="00E300DA"/>
    <w:rsid w:val="00E307A5"/>
    <w:rsid w:val="00E32791"/>
    <w:rsid w:val="00E34126"/>
    <w:rsid w:val="00E35476"/>
    <w:rsid w:val="00E36207"/>
    <w:rsid w:val="00E4248A"/>
    <w:rsid w:val="00E4257C"/>
    <w:rsid w:val="00E43C4A"/>
    <w:rsid w:val="00E451C2"/>
    <w:rsid w:val="00E570BD"/>
    <w:rsid w:val="00E622EC"/>
    <w:rsid w:val="00E63243"/>
    <w:rsid w:val="00E67821"/>
    <w:rsid w:val="00E72E2E"/>
    <w:rsid w:val="00E74318"/>
    <w:rsid w:val="00E75D4F"/>
    <w:rsid w:val="00E92B97"/>
    <w:rsid w:val="00E95CED"/>
    <w:rsid w:val="00EA75D4"/>
    <w:rsid w:val="00EC30FB"/>
    <w:rsid w:val="00EC3E2B"/>
    <w:rsid w:val="00EC61A4"/>
    <w:rsid w:val="00EE0AE5"/>
    <w:rsid w:val="00EE1117"/>
    <w:rsid w:val="00EE15B3"/>
    <w:rsid w:val="00EF051B"/>
    <w:rsid w:val="00EF4F7A"/>
    <w:rsid w:val="00F02034"/>
    <w:rsid w:val="00F104D6"/>
    <w:rsid w:val="00F1055B"/>
    <w:rsid w:val="00F11698"/>
    <w:rsid w:val="00F20F9D"/>
    <w:rsid w:val="00F2393C"/>
    <w:rsid w:val="00F24FA7"/>
    <w:rsid w:val="00F25F20"/>
    <w:rsid w:val="00F25F55"/>
    <w:rsid w:val="00F2760D"/>
    <w:rsid w:val="00F406E9"/>
    <w:rsid w:val="00F4316A"/>
    <w:rsid w:val="00F44121"/>
    <w:rsid w:val="00F61774"/>
    <w:rsid w:val="00F63BE9"/>
    <w:rsid w:val="00F64C91"/>
    <w:rsid w:val="00F66163"/>
    <w:rsid w:val="00F7062D"/>
    <w:rsid w:val="00F721FE"/>
    <w:rsid w:val="00F74783"/>
    <w:rsid w:val="00F8784A"/>
    <w:rsid w:val="00F91B39"/>
    <w:rsid w:val="00FA63DB"/>
    <w:rsid w:val="00FA7F77"/>
    <w:rsid w:val="00FB08AB"/>
    <w:rsid w:val="00FB2C19"/>
    <w:rsid w:val="00FB5254"/>
    <w:rsid w:val="00FC6D5F"/>
    <w:rsid w:val="00FC7F35"/>
    <w:rsid w:val="00FD1717"/>
    <w:rsid w:val="00FD2E03"/>
    <w:rsid w:val="00FD3949"/>
    <w:rsid w:val="00FD6AB0"/>
    <w:rsid w:val="00FD7616"/>
    <w:rsid w:val="00FE37BF"/>
    <w:rsid w:val="00FE7111"/>
    <w:rsid w:val="00FF1D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1717"/>
  <w15:docId w15:val="{264EA333-5F0E-4BE3-9B50-62FB5ADD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B7"/>
    <w:rPr>
      <w:rFonts w:cstheme="minorBidi"/>
      <w:sz w:val="22"/>
      <w:szCs w:val="22"/>
    </w:rPr>
  </w:style>
  <w:style w:type="paragraph" w:styleId="Heading1">
    <w:name w:val="heading 1"/>
    <w:basedOn w:val="Normal"/>
    <w:next w:val="Normal"/>
    <w:link w:val="Heading1Char"/>
    <w:uiPriority w:val="9"/>
    <w:qFormat/>
    <w:rsid w:val="00B664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64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B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2B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C90A22"/>
    <w:pPr>
      <w:jc w:val="center"/>
    </w:pPr>
    <w:rPr>
      <w:rFonts w:ascii="Times New Roman" w:hAnsi="Times New Roman"/>
      <w:color w:val="auto"/>
      <w:sz w:val="28"/>
    </w:rPr>
  </w:style>
  <w:style w:type="paragraph" w:styleId="Title">
    <w:name w:val="Title"/>
    <w:basedOn w:val="Normal"/>
    <w:next w:val="Normal"/>
    <w:link w:val="TitleChar"/>
    <w:uiPriority w:val="10"/>
    <w:qFormat/>
    <w:rsid w:val="00C90A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0A22"/>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4E20E3"/>
    <w:pPr>
      <w:ind w:left="720"/>
      <w:contextualSpacing/>
    </w:pPr>
    <w:rPr>
      <w:rFonts w:eastAsia="Times New Roman" w:cs="Times New Roman"/>
    </w:rPr>
  </w:style>
  <w:style w:type="character" w:customStyle="1" w:styleId="Heading1Char">
    <w:name w:val="Heading 1 Char"/>
    <w:basedOn w:val="DefaultParagraphFont"/>
    <w:link w:val="Heading1"/>
    <w:uiPriority w:val="9"/>
    <w:rsid w:val="00B664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64B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664B7"/>
    <w:rPr>
      <w:color w:val="0000FF" w:themeColor="hyperlink"/>
      <w:u w:val="single"/>
    </w:rPr>
  </w:style>
  <w:style w:type="character" w:customStyle="1" w:styleId="markedcontent">
    <w:name w:val="markedcontent"/>
    <w:basedOn w:val="DefaultParagraphFont"/>
    <w:rsid w:val="00B664B7"/>
  </w:style>
  <w:style w:type="character" w:customStyle="1" w:styleId="Heading3Char">
    <w:name w:val="Heading 3 Char"/>
    <w:basedOn w:val="DefaultParagraphFont"/>
    <w:link w:val="Heading3"/>
    <w:uiPriority w:val="9"/>
    <w:rsid w:val="004B2B2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B2B27"/>
    <w:rPr>
      <w:rFonts w:asciiTheme="majorHAnsi" w:eastAsiaTheme="majorEastAsia" w:hAnsiTheme="majorHAnsi" w:cstheme="majorBidi"/>
      <w:b/>
      <w:bCs/>
      <w:i/>
      <w:iCs/>
      <w:color w:val="4F81BD" w:themeColor="accent1"/>
      <w:sz w:val="22"/>
      <w:szCs w:val="22"/>
    </w:rPr>
  </w:style>
  <w:style w:type="character" w:styleId="FollowedHyperlink">
    <w:name w:val="FollowedHyperlink"/>
    <w:basedOn w:val="DefaultParagraphFont"/>
    <w:uiPriority w:val="99"/>
    <w:semiHidden/>
    <w:unhideWhenUsed/>
    <w:rsid w:val="003E5DF8"/>
    <w:rPr>
      <w:color w:val="800080" w:themeColor="followedHyperlink"/>
      <w:u w:val="single"/>
    </w:rPr>
  </w:style>
  <w:style w:type="paragraph" w:styleId="BalloonText">
    <w:name w:val="Balloon Text"/>
    <w:basedOn w:val="Normal"/>
    <w:link w:val="BalloonTextChar"/>
    <w:uiPriority w:val="99"/>
    <w:semiHidden/>
    <w:unhideWhenUsed/>
    <w:rsid w:val="00832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40"/>
    <w:rPr>
      <w:rFonts w:ascii="Segoe UI" w:hAnsi="Segoe UI" w:cs="Segoe UI"/>
      <w:sz w:val="18"/>
      <w:szCs w:val="18"/>
    </w:rPr>
  </w:style>
  <w:style w:type="character" w:styleId="CommentReference">
    <w:name w:val="annotation reference"/>
    <w:basedOn w:val="DefaultParagraphFont"/>
    <w:uiPriority w:val="99"/>
    <w:semiHidden/>
    <w:unhideWhenUsed/>
    <w:rsid w:val="006139AE"/>
    <w:rPr>
      <w:sz w:val="16"/>
      <w:szCs w:val="16"/>
    </w:rPr>
  </w:style>
  <w:style w:type="paragraph" w:styleId="CommentText">
    <w:name w:val="annotation text"/>
    <w:basedOn w:val="Normal"/>
    <w:link w:val="CommentTextChar"/>
    <w:uiPriority w:val="99"/>
    <w:unhideWhenUsed/>
    <w:rsid w:val="00681833"/>
    <w:rPr>
      <w:sz w:val="20"/>
      <w:szCs w:val="20"/>
    </w:rPr>
  </w:style>
  <w:style w:type="character" w:customStyle="1" w:styleId="CommentTextChar">
    <w:name w:val="Comment Text Char"/>
    <w:basedOn w:val="DefaultParagraphFont"/>
    <w:link w:val="CommentText"/>
    <w:uiPriority w:val="99"/>
    <w:rsid w:val="006139AE"/>
    <w:rPr>
      <w:rFonts w:cstheme="minorBidi"/>
    </w:rPr>
  </w:style>
  <w:style w:type="paragraph" w:styleId="CommentSubject">
    <w:name w:val="annotation subject"/>
    <w:basedOn w:val="CommentText"/>
    <w:next w:val="CommentText"/>
    <w:link w:val="CommentSubjectChar"/>
    <w:uiPriority w:val="99"/>
    <w:semiHidden/>
    <w:unhideWhenUsed/>
    <w:rsid w:val="006139AE"/>
    <w:rPr>
      <w:b/>
      <w:bCs/>
    </w:rPr>
  </w:style>
  <w:style w:type="character" w:customStyle="1" w:styleId="CommentSubjectChar">
    <w:name w:val="Comment Subject Char"/>
    <w:basedOn w:val="CommentTextChar"/>
    <w:link w:val="CommentSubject"/>
    <w:uiPriority w:val="99"/>
    <w:semiHidden/>
    <w:rsid w:val="006139AE"/>
    <w:rPr>
      <w:rFonts w:cstheme="minorBidi"/>
      <w:b/>
      <w:bCs/>
    </w:rPr>
  </w:style>
  <w:style w:type="paragraph" w:styleId="Revision">
    <w:name w:val="Revision"/>
    <w:hidden/>
    <w:uiPriority w:val="99"/>
    <w:semiHidden/>
    <w:rsid w:val="00C42D9B"/>
    <w:rPr>
      <w:rFonts w:cstheme="minorBidi"/>
      <w:sz w:val="22"/>
      <w:szCs w:val="22"/>
    </w:rPr>
  </w:style>
  <w:style w:type="paragraph" w:styleId="FootnoteText">
    <w:name w:val="footnote text"/>
    <w:basedOn w:val="Normal"/>
    <w:link w:val="FootnoteTextChar"/>
    <w:uiPriority w:val="99"/>
    <w:semiHidden/>
    <w:unhideWhenUsed/>
    <w:rsid w:val="004A7CC9"/>
    <w:rPr>
      <w:sz w:val="20"/>
      <w:szCs w:val="20"/>
    </w:rPr>
  </w:style>
  <w:style w:type="character" w:customStyle="1" w:styleId="FootnoteTextChar">
    <w:name w:val="Footnote Text Char"/>
    <w:basedOn w:val="DefaultParagraphFont"/>
    <w:link w:val="FootnoteText"/>
    <w:uiPriority w:val="99"/>
    <w:semiHidden/>
    <w:rsid w:val="004A7CC9"/>
    <w:rPr>
      <w:rFonts w:cstheme="minorBidi"/>
    </w:rPr>
  </w:style>
  <w:style w:type="character" w:styleId="FootnoteReference">
    <w:name w:val="footnote reference"/>
    <w:basedOn w:val="DefaultParagraphFont"/>
    <w:uiPriority w:val="99"/>
    <w:semiHidden/>
    <w:unhideWhenUsed/>
    <w:rsid w:val="004A7CC9"/>
    <w:rPr>
      <w:vertAlign w:val="superscript"/>
    </w:rPr>
  </w:style>
  <w:style w:type="character" w:customStyle="1" w:styleId="UnresolvedMention1">
    <w:name w:val="Unresolved Mention1"/>
    <w:basedOn w:val="DefaultParagraphFont"/>
    <w:uiPriority w:val="99"/>
    <w:semiHidden/>
    <w:unhideWhenUsed/>
    <w:rsid w:val="00591266"/>
    <w:rPr>
      <w:color w:val="605E5C"/>
      <w:shd w:val="clear" w:color="auto" w:fill="E1DFDD"/>
    </w:rPr>
  </w:style>
  <w:style w:type="paragraph" w:styleId="Header">
    <w:name w:val="header"/>
    <w:basedOn w:val="Normal"/>
    <w:link w:val="HeaderChar"/>
    <w:uiPriority w:val="99"/>
    <w:unhideWhenUsed/>
    <w:rsid w:val="00681833"/>
    <w:pPr>
      <w:tabs>
        <w:tab w:val="center" w:pos="4680"/>
        <w:tab w:val="right" w:pos="9360"/>
      </w:tabs>
    </w:pPr>
  </w:style>
  <w:style w:type="character" w:customStyle="1" w:styleId="HeaderChar">
    <w:name w:val="Header Char"/>
    <w:basedOn w:val="DefaultParagraphFont"/>
    <w:link w:val="Header"/>
    <w:uiPriority w:val="99"/>
    <w:rsid w:val="00681833"/>
    <w:rPr>
      <w:rFonts w:cstheme="minorBidi"/>
      <w:sz w:val="22"/>
      <w:szCs w:val="22"/>
    </w:rPr>
  </w:style>
  <w:style w:type="paragraph" w:styleId="Footer">
    <w:name w:val="footer"/>
    <w:basedOn w:val="Normal"/>
    <w:link w:val="FooterChar"/>
    <w:uiPriority w:val="99"/>
    <w:unhideWhenUsed/>
    <w:rsid w:val="00681833"/>
    <w:pPr>
      <w:tabs>
        <w:tab w:val="center" w:pos="4680"/>
        <w:tab w:val="right" w:pos="9360"/>
      </w:tabs>
    </w:pPr>
  </w:style>
  <w:style w:type="character" w:customStyle="1" w:styleId="FooterChar">
    <w:name w:val="Footer Char"/>
    <w:basedOn w:val="DefaultParagraphFont"/>
    <w:link w:val="Footer"/>
    <w:uiPriority w:val="99"/>
    <w:rsid w:val="00681833"/>
    <w:rPr>
      <w:rFonts w:cstheme="minorBidi"/>
      <w:sz w:val="22"/>
      <w:szCs w:val="22"/>
    </w:rPr>
  </w:style>
  <w:style w:type="character" w:styleId="UnresolvedMention">
    <w:name w:val="Unresolved Mention"/>
    <w:basedOn w:val="DefaultParagraphFont"/>
    <w:uiPriority w:val="99"/>
    <w:semiHidden/>
    <w:unhideWhenUsed/>
    <w:rsid w:val="00DC0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0761">
      <w:bodyDiv w:val="1"/>
      <w:marLeft w:val="0"/>
      <w:marRight w:val="0"/>
      <w:marTop w:val="0"/>
      <w:marBottom w:val="0"/>
      <w:divBdr>
        <w:top w:val="none" w:sz="0" w:space="0" w:color="auto"/>
        <w:left w:val="none" w:sz="0" w:space="0" w:color="auto"/>
        <w:bottom w:val="none" w:sz="0" w:space="0" w:color="auto"/>
        <w:right w:val="none" w:sz="0" w:space="0" w:color="auto"/>
      </w:divBdr>
    </w:div>
    <w:div w:id="1527675298">
      <w:bodyDiv w:val="1"/>
      <w:marLeft w:val="0"/>
      <w:marRight w:val="0"/>
      <w:marTop w:val="0"/>
      <w:marBottom w:val="0"/>
      <w:divBdr>
        <w:top w:val="none" w:sz="0" w:space="0" w:color="auto"/>
        <w:left w:val="none" w:sz="0" w:space="0" w:color="auto"/>
        <w:bottom w:val="none" w:sz="0" w:space="0" w:color="auto"/>
        <w:right w:val="none" w:sz="0" w:space="0" w:color="auto"/>
      </w:divBdr>
    </w:div>
    <w:div w:id="21340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ssd.online" TargetMode="External"/><Relationship Id="rId13" Type="http://schemas.openxmlformats.org/officeDocument/2006/relationships/hyperlink" Target="https://documents1.worldbank.org/curated/en/495061492543870701/pdf/114403-REVISED-June25-DocumentsPrivInvestMob-Draft-Ref-Guide-Master-June2018-v4.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f.org/-/media/Websites/IMF/imported-full-text-pdf/external/np/pp/eng/2013/_110513.ash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ossd.org/docs/reporting-instruc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f.org/-/media/Files/Publications/PP/2017/pp122617guidance-note-on-lic-dsf.ashx" TargetMode="External"/><Relationship Id="rId5" Type="http://schemas.openxmlformats.org/officeDocument/2006/relationships/webSettings" Target="webSettings.xml"/><Relationship Id="rId15" Type="http://schemas.openxmlformats.org/officeDocument/2006/relationships/hyperlink" Target="https://one.oecd.org/document/DCD/DAC/STAT(2020)44/FINAL/en/pdf" TargetMode="External"/><Relationship Id="rId10" Type="http://schemas.openxmlformats.org/officeDocument/2006/relationships/hyperlink" Target="https://www.oecd.org/officialdocuments/publicdisplaydocumentpdf/?cote=DEV/DOC/WKP(2017)5&amp;docLanguage=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ssd.online/about" TargetMode="External"/><Relationship Id="rId14" Type="http://schemas.openxmlformats.org/officeDocument/2006/relationships/hyperlink" Target="https://www.oecd.org/dac/financing-sustainable-development/development-finance-standards/mobilis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89D7-4513-43DE-B9D1-8A6D9066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1950</Words>
  <Characters>11119</Characters>
  <Application>Microsoft Office Word</Application>
  <DocSecurity>0</DocSecurity>
  <Lines>92</Lines>
  <Paragraphs>26</Paragraphs>
  <ScaleCrop>false</ScaleCrop>
  <HeadingPairs>
    <vt:vector size="6" baseType="variant">
      <vt:variant>
        <vt:lpstr>Tittel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Scott</dc:creator>
  <cp:keywords/>
  <dc:description/>
  <cp:lastModifiedBy>Matthias Reister</cp:lastModifiedBy>
  <cp:revision>17</cp:revision>
  <dcterms:created xsi:type="dcterms:W3CDTF">2021-07-13T17:58:00Z</dcterms:created>
  <dcterms:modified xsi:type="dcterms:W3CDTF">2021-07-16T16:31:00Z</dcterms:modified>
</cp:coreProperties>
</file>